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350C5" w14:textId="4304B719" w:rsidR="00B95A1D" w:rsidRDefault="00B95A1D">
      <w:pPr>
        <w:rPr>
          <w:rFonts w:ascii="Times New Roman" w:hAnsi="Times New Roman" w:cs="Times New Roman"/>
        </w:rPr>
      </w:pPr>
      <w:r>
        <w:rPr>
          <w:noProof/>
        </w:rPr>
        <w:drawing>
          <wp:anchor distT="0" distB="0" distL="114300" distR="114300" simplePos="0" relativeHeight="251659264" behindDoc="0" locked="0" layoutInCell="1" allowOverlap="1" wp14:anchorId="22CA5FA3" wp14:editId="26E89380">
            <wp:simplePos x="0" y="0"/>
            <wp:positionH relativeFrom="margin">
              <wp:align>right</wp:align>
            </wp:positionH>
            <wp:positionV relativeFrom="page">
              <wp:posOffset>501650</wp:posOffset>
            </wp:positionV>
            <wp:extent cx="1662430" cy="793750"/>
            <wp:effectExtent l="0" t="0" r="0" b="635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243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12F4E14" wp14:editId="31C590C8">
            <wp:simplePos x="0" y="0"/>
            <wp:positionH relativeFrom="column">
              <wp:posOffset>-201295</wp:posOffset>
            </wp:positionH>
            <wp:positionV relativeFrom="page">
              <wp:posOffset>501650</wp:posOffset>
            </wp:positionV>
            <wp:extent cx="1689100" cy="733425"/>
            <wp:effectExtent l="0" t="0" r="635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733425"/>
                    </a:xfrm>
                    <a:prstGeom prst="rect">
                      <a:avLst/>
                    </a:prstGeom>
                    <a:noFill/>
                    <a:ln>
                      <a:noFill/>
                    </a:ln>
                  </pic:spPr>
                </pic:pic>
              </a:graphicData>
            </a:graphic>
          </wp:anchor>
        </w:drawing>
      </w:r>
      <w:r w:rsidR="00DA1A20">
        <w:rPr>
          <w:rFonts w:ascii="Times New Roman" w:hAnsi="Times New Roman" w:cs="Times New Roman"/>
        </w:rPr>
        <w:tab/>
      </w:r>
      <w:r w:rsidR="00DA1A20">
        <w:rPr>
          <w:rFonts w:ascii="Times New Roman" w:hAnsi="Times New Roman" w:cs="Times New Roman"/>
        </w:rPr>
        <w:tab/>
      </w:r>
      <w:r w:rsidR="00DA1A20">
        <w:rPr>
          <w:rFonts w:ascii="Times New Roman" w:hAnsi="Times New Roman" w:cs="Times New Roman"/>
        </w:rPr>
        <w:tab/>
      </w:r>
      <w:r>
        <w:rPr>
          <w:rFonts w:ascii="Times New Roman" w:hAnsi="Times New Roman" w:cs="Times New Roman"/>
        </w:rPr>
        <w:t xml:space="preserve">                                                             </w:t>
      </w:r>
    </w:p>
    <w:p w14:paraId="150EF677" w14:textId="12069328" w:rsidR="00B95A1D" w:rsidRDefault="00B95A1D">
      <w:pPr>
        <w:rPr>
          <w:rFonts w:ascii="Times New Roman" w:hAnsi="Times New Roman" w:cs="Times New Roman"/>
        </w:rPr>
      </w:pPr>
    </w:p>
    <w:p w14:paraId="1ADB0A4B" w14:textId="77777777" w:rsidR="00B95A1D" w:rsidRDefault="00B95A1D">
      <w:pPr>
        <w:rPr>
          <w:rFonts w:ascii="Times New Roman" w:hAnsi="Times New Roman" w:cs="Times New Roman"/>
        </w:rPr>
      </w:pPr>
    </w:p>
    <w:p w14:paraId="42EE93D8" w14:textId="77777777" w:rsidR="00B95A1D" w:rsidRDefault="00B95A1D">
      <w:pPr>
        <w:rPr>
          <w:rFonts w:ascii="Times New Roman" w:hAnsi="Times New Roman" w:cs="Times New Roman"/>
        </w:rPr>
      </w:pPr>
    </w:p>
    <w:p w14:paraId="76559A53" w14:textId="77777777" w:rsidR="00606865" w:rsidRDefault="00606865">
      <w:pPr>
        <w:rPr>
          <w:rFonts w:ascii="Times New Roman" w:hAnsi="Times New Roman" w:cs="Times New Roman"/>
        </w:rPr>
      </w:pPr>
    </w:p>
    <w:p w14:paraId="4D0E53D1" w14:textId="77777777" w:rsidR="00606865" w:rsidRDefault="00DA1A20">
      <w:pPr>
        <w:suppressAutoHyphens/>
        <w:spacing w:line="247" w:lineRule="auto"/>
        <w:jc w:val="center"/>
        <w:textAlignment w:val="baseline"/>
        <w:rPr>
          <w:rFonts w:ascii="Times New Roman" w:eastAsia="Calibri" w:hAnsi="Times New Roman" w:cs="Times New Roman"/>
          <w:b/>
          <w:bCs/>
          <w:kern w:val="2"/>
          <w:lang w:eastAsia="zh-CN"/>
        </w:rPr>
      </w:pPr>
      <w:r>
        <w:rPr>
          <w:rFonts w:ascii="Times New Roman" w:eastAsia="Calibri" w:hAnsi="Times New Roman" w:cs="Times New Roman"/>
          <w:b/>
          <w:bCs/>
          <w:kern w:val="2"/>
          <w:lang w:eastAsia="zh-CN"/>
        </w:rPr>
        <w:t>Mardi du Quai Voltaire – 9 juin 2020</w:t>
      </w:r>
    </w:p>
    <w:p w14:paraId="39B267E5" w14:textId="77777777" w:rsidR="00606865" w:rsidRDefault="00DA1A20">
      <w:pPr>
        <w:suppressAutoHyphens/>
        <w:spacing w:line="247" w:lineRule="auto"/>
        <w:jc w:val="center"/>
        <w:textAlignment w:val="baseline"/>
        <w:rPr>
          <w:rFonts w:ascii="Times New Roman" w:eastAsia="Calibri" w:hAnsi="Times New Roman" w:cs="Times New Roman"/>
          <w:b/>
          <w:bCs/>
          <w:kern w:val="2"/>
          <w:lang w:eastAsia="zh-CN"/>
        </w:rPr>
      </w:pPr>
      <w:r>
        <w:rPr>
          <w:rFonts w:ascii="Times New Roman" w:eastAsia="Calibri" w:hAnsi="Times New Roman" w:cs="Times New Roman"/>
          <w:b/>
          <w:bCs/>
          <w:kern w:val="2"/>
          <w:lang w:eastAsia="zh-CN"/>
        </w:rPr>
        <w:t>Et si l’eau venait à nous manquer ?</w:t>
      </w:r>
    </w:p>
    <w:p w14:paraId="0C489669" w14:textId="77777777" w:rsidR="00606865" w:rsidRDefault="00606865">
      <w:pPr>
        <w:suppressAutoHyphens/>
        <w:spacing w:line="247" w:lineRule="auto"/>
        <w:jc w:val="center"/>
        <w:textAlignment w:val="baseline"/>
        <w:rPr>
          <w:rFonts w:ascii="Times New Roman" w:eastAsia="Calibri" w:hAnsi="Times New Roman" w:cs="Times New Roman"/>
          <w:b/>
          <w:bCs/>
          <w:kern w:val="2"/>
          <w:lang w:eastAsia="zh-CN"/>
        </w:rPr>
      </w:pPr>
    </w:p>
    <w:p w14:paraId="57BEE1EE" w14:textId="644A8E2C" w:rsidR="00606865" w:rsidRDefault="00DA1A20" w:rsidP="00582AB2">
      <w:pPr>
        <w:suppressAutoHyphens/>
        <w:spacing w:line="247" w:lineRule="auto"/>
        <w:jc w:val="center"/>
        <w:textAlignment w:val="baseline"/>
        <w:rPr>
          <w:rFonts w:ascii="Times New Roman" w:eastAsia="Calibri" w:hAnsi="Times New Roman" w:cs="Times New Roman"/>
          <w:kern w:val="2"/>
          <w:lang w:eastAsia="zh-CN"/>
        </w:rPr>
      </w:pPr>
      <w:r>
        <w:rPr>
          <w:rFonts w:ascii="Times New Roman" w:eastAsia="Calibri" w:hAnsi="Times New Roman" w:cs="Times New Roman"/>
          <w:kern w:val="2"/>
          <w:lang w:eastAsia="zh-CN"/>
        </w:rPr>
        <w:t>AgroParisTech Alumni propose un Mardi du Quai Voltaire</w:t>
      </w:r>
    </w:p>
    <w:p w14:paraId="61E3FAC5" w14:textId="10E8E9BD" w:rsidR="00606865" w:rsidRDefault="00DA1A20">
      <w:pPr>
        <w:suppressAutoHyphens/>
        <w:spacing w:line="247" w:lineRule="auto"/>
        <w:jc w:val="center"/>
        <w:textAlignment w:val="baseline"/>
        <w:rPr>
          <w:rFonts w:ascii="Times New Roman" w:eastAsia="Calibri" w:hAnsi="Times New Roman" w:cs="Times New Roman"/>
          <w:kern w:val="2"/>
          <w:lang w:eastAsia="zh-CN"/>
        </w:rPr>
      </w:pPr>
      <w:r>
        <w:rPr>
          <w:rFonts w:ascii="Times New Roman" w:eastAsia="Calibri" w:hAnsi="Times New Roman" w:cs="Times New Roman"/>
          <w:kern w:val="2"/>
          <w:lang w:eastAsia="zh-CN"/>
        </w:rPr>
        <w:t>le 9 juin 2020 de 17h00 à 18h30 consacré à la</w:t>
      </w:r>
      <w:r w:rsidR="00582AB2">
        <w:rPr>
          <w:rFonts w:ascii="Times New Roman" w:eastAsia="Calibri" w:hAnsi="Times New Roman" w:cs="Times New Roman"/>
          <w:kern w:val="2"/>
          <w:lang w:eastAsia="zh-CN"/>
        </w:rPr>
        <w:t xml:space="preserve"> </w:t>
      </w:r>
      <w:r>
        <w:rPr>
          <w:rFonts w:ascii="Times New Roman" w:eastAsia="Calibri" w:hAnsi="Times New Roman" w:cs="Times New Roman"/>
          <w:kern w:val="2"/>
          <w:lang w:eastAsia="zh-CN"/>
        </w:rPr>
        <w:t>gestion de l’eau.</w:t>
      </w:r>
    </w:p>
    <w:p w14:paraId="35111BC9" w14:textId="663C036F" w:rsidR="00582AB2" w:rsidRPr="00582AB2" w:rsidRDefault="00582AB2" w:rsidP="00582AB2">
      <w:pPr>
        <w:spacing w:before="100" w:beforeAutospacing="1" w:after="100" w:afterAutospacing="1" w:line="240" w:lineRule="auto"/>
        <w:jc w:val="both"/>
        <w:rPr>
          <w:rFonts w:ascii="Times New Roman" w:eastAsia="Times New Roman" w:hAnsi="Times New Roman" w:cs="Times New Roman"/>
          <w:lang w:eastAsia="fr-FR"/>
        </w:rPr>
      </w:pPr>
      <w:r w:rsidRPr="00582AB2">
        <w:rPr>
          <w:rFonts w:ascii="Times New Roman" w:eastAsia="Times New Roman" w:hAnsi="Times New Roman" w:cs="Times New Roman"/>
          <w:color w:val="000000"/>
          <w:lang w:eastAsia="fr-FR"/>
        </w:rPr>
        <w:t>C</w:t>
      </w:r>
      <w:r w:rsidRPr="00582AB2">
        <w:rPr>
          <w:rFonts w:ascii="Times New Roman" w:eastAsia="Times New Roman" w:hAnsi="Times New Roman" w:cs="Times New Roman"/>
          <w:color w:val="000000"/>
          <w:lang w:eastAsia="fr-FR"/>
        </w:rPr>
        <w:t>ompte tenu des circonstances exceptionnelles liées à la situation sanitaire, les Mardis du Quai Voltaire innovent et organisent cet événement en ligne qui permettra au plus grand nombre de nous suivre. </w:t>
      </w:r>
    </w:p>
    <w:p w14:paraId="46D26451" w14:textId="43C4C177" w:rsidR="00582AB2" w:rsidRPr="00582AB2" w:rsidRDefault="00582AB2" w:rsidP="00582AB2">
      <w:pPr>
        <w:spacing w:before="100" w:beforeAutospacing="1" w:after="100" w:afterAutospacing="1" w:line="240" w:lineRule="auto"/>
        <w:rPr>
          <w:rFonts w:ascii="Times New Roman" w:eastAsia="Times New Roman" w:hAnsi="Times New Roman" w:cs="Times New Roman"/>
          <w:lang w:eastAsia="fr-FR"/>
        </w:rPr>
      </w:pPr>
      <w:r w:rsidRPr="00582AB2">
        <w:rPr>
          <w:rFonts w:ascii="Times New Roman" w:eastAsia="Times New Roman" w:hAnsi="Times New Roman" w:cs="Times New Roman"/>
          <w:color w:val="000000"/>
          <w:lang w:eastAsia="fr-FR"/>
        </w:rPr>
        <w:t>Le débat sera retransmis en direct sur la chaîne You</w:t>
      </w:r>
      <w:r>
        <w:rPr>
          <w:rFonts w:ascii="Times New Roman" w:eastAsia="Times New Roman" w:hAnsi="Times New Roman" w:cs="Times New Roman"/>
          <w:color w:val="000000"/>
          <w:lang w:eastAsia="fr-FR"/>
        </w:rPr>
        <w:t xml:space="preserve"> T</w:t>
      </w:r>
      <w:r w:rsidRPr="00582AB2">
        <w:rPr>
          <w:rFonts w:ascii="Times New Roman" w:eastAsia="Times New Roman" w:hAnsi="Times New Roman" w:cs="Times New Roman"/>
          <w:color w:val="000000"/>
          <w:lang w:eastAsia="fr-FR"/>
        </w:rPr>
        <w:t>ube AgroParisTech Alumni</w:t>
      </w:r>
      <w:r>
        <w:rPr>
          <w:rFonts w:ascii="Times New Roman" w:eastAsia="Times New Roman" w:hAnsi="Times New Roman" w:cs="Times New Roman"/>
          <w:color w:val="000000"/>
          <w:lang w:eastAsia="fr-FR"/>
        </w:rPr>
        <w:t>.</w:t>
      </w:r>
    </w:p>
    <w:p w14:paraId="762C08F1" w14:textId="77777777" w:rsidR="00606865" w:rsidRDefault="00DA1A20">
      <w:pPr>
        <w:suppressAutoHyphens/>
        <w:spacing w:line="247" w:lineRule="auto"/>
        <w:jc w:val="both"/>
        <w:textAlignment w:val="baseline"/>
        <w:rPr>
          <w:rFonts w:ascii="Times New Roman" w:eastAsia="Calibri" w:hAnsi="Times New Roman" w:cs="Times New Roman"/>
          <w:kern w:val="2"/>
          <w:lang w:eastAsia="zh-CN"/>
        </w:rPr>
      </w:pPr>
      <w:r>
        <w:rPr>
          <w:rFonts w:ascii="Times New Roman" w:eastAsia="Calibri" w:hAnsi="Times New Roman" w:cs="Times New Roman"/>
          <w:kern w:val="2"/>
          <w:lang w:eastAsia="zh-CN"/>
        </w:rPr>
        <w:t>S</w:t>
      </w:r>
      <w:r>
        <w:rPr>
          <w:rFonts w:ascii="Times New Roman" w:eastAsia="Calibri" w:hAnsi="Times New Roman" w:cs="Times New Roman"/>
          <w:kern w:val="2"/>
          <w:lang w:eastAsia="zh-CN"/>
        </w:rPr>
        <w:t>ous le titre « Et si l’eau venait à nou</w:t>
      </w:r>
      <w:r>
        <w:rPr>
          <w:rFonts w:ascii="Times New Roman" w:eastAsia="Calibri" w:hAnsi="Times New Roman" w:cs="Times New Roman"/>
          <w:kern w:val="2"/>
          <w:lang w:eastAsia="zh-CN"/>
        </w:rPr>
        <w:t xml:space="preserve">s manquer ? » et sur la base de l’analyse proposée dans les pages qui suivent, le débat sera organisé autour de trois thèmes de questions. </w:t>
      </w:r>
    </w:p>
    <w:p w14:paraId="125FEFCE" w14:textId="77777777" w:rsidR="00606865" w:rsidRDefault="00606865">
      <w:pPr>
        <w:jc w:val="center"/>
        <w:rPr>
          <w:rFonts w:ascii="Times New Roman" w:hAnsi="Times New Roman" w:cs="Times New Roman"/>
          <w:b/>
          <w:bCs/>
          <w:color w:val="222222"/>
          <w:highlight w:val="white"/>
        </w:rPr>
      </w:pPr>
    </w:p>
    <w:p w14:paraId="057F6BC2" w14:textId="77777777" w:rsidR="00606865" w:rsidRDefault="00DA1A20">
      <w:pPr>
        <w:pStyle w:val="Paragraphedeliste"/>
        <w:numPr>
          <w:ilvl w:val="0"/>
          <w:numId w:val="4"/>
        </w:numPr>
        <w:jc w:val="center"/>
        <w:rPr>
          <w:rFonts w:ascii="Times New Roman" w:hAnsi="Times New Roman" w:cs="Times New Roman"/>
          <w:bCs/>
          <w:highlight w:val="white"/>
        </w:rPr>
      </w:pPr>
      <w:r>
        <w:rPr>
          <w:rFonts w:ascii="Times New Roman" w:hAnsi="Times New Roman" w:cs="Times New Roman"/>
          <w:bCs/>
          <w:shd w:val="clear" w:color="auto" w:fill="FFFFFF"/>
        </w:rPr>
        <w:t>En matière de gouvernance :</w:t>
      </w:r>
    </w:p>
    <w:p w14:paraId="0455B49E" w14:textId="77777777" w:rsidR="00606865" w:rsidRDefault="00DA1A20">
      <w:pPr>
        <w:jc w:val="center"/>
        <w:rPr>
          <w:rFonts w:ascii="Times New Roman" w:hAnsi="Times New Roman" w:cs="Times New Roman"/>
          <w:bCs/>
          <w:highlight w:val="white"/>
        </w:rPr>
      </w:pPr>
      <w:r>
        <w:rPr>
          <w:rFonts w:ascii="Times New Roman" w:hAnsi="Times New Roman" w:cs="Times New Roman"/>
          <w:bCs/>
          <w:shd w:val="clear" w:color="auto" w:fill="FFFFFF"/>
        </w:rPr>
        <w:t>Quel bilan tirer des expériences de gestion des eaux notamment par bassins versants ?</w:t>
      </w:r>
    </w:p>
    <w:p w14:paraId="66FEBB48" w14:textId="77777777" w:rsidR="00606865" w:rsidRDefault="00DA1A20">
      <w:pPr>
        <w:spacing w:after="0"/>
        <w:jc w:val="center"/>
        <w:rPr>
          <w:rFonts w:ascii="Times New Roman" w:hAnsi="Times New Roman" w:cs="Times New Roman"/>
          <w:bCs/>
          <w:highlight w:val="white"/>
        </w:rPr>
      </w:pPr>
      <w:r>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Et, devant les urgences qui s’accumulent, quels défis prévoir en termes :</w:t>
      </w:r>
    </w:p>
    <w:p w14:paraId="5563A799" w14:textId="77777777" w:rsidR="00606865" w:rsidRDefault="00DA1A20">
      <w:pPr>
        <w:spacing w:after="0"/>
        <w:jc w:val="center"/>
        <w:rPr>
          <w:rFonts w:ascii="Times New Roman" w:hAnsi="Times New Roman" w:cs="Times New Roman"/>
          <w:bCs/>
          <w:highlight w:val="white"/>
        </w:rPr>
      </w:pPr>
      <w:r>
        <w:rPr>
          <w:rFonts w:ascii="Times New Roman" w:hAnsi="Times New Roman" w:cs="Times New Roman"/>
          <w:bCs/>
          <w:shd w:val="clear" w:color="auto" w:fill="FFFFFF"/>
        </w:rPr>
        <w:t>d’équité socio-économique ?</w:t>
      </w:r>
    </w:p>
    <w:p w14:paraId="6B218EBE" w14:textId="77777777" w:rsidR="00606865" w:rsidRDefault="00DA1A20">
      <w:pPr>
        <w:spacing w:after="0"/>
        <w:jc w:val="center"/>
        <w:rPr>
          <w:rFonts w:ascii="Times New Roman" w:hAnsi="Times New Roman" w:cs="Times New Roman"/>
          <w:bCs/>
          <w:highlight w:val="white"/>
        </w:rPr>
      </w:pPr>
      <w:r>
        <w:rPr>
          <w:rFonts w:ascii="Times New Roman" w:hAnsi="Times New Roman" w:cs="Times New Roman"/>
          <w:bCs/>
          <w:shd w:val="clear" w:color="auto" w:fill="FFFFFF"/>
        </w:rPr>
        <w:t>d’optimisation de la valeur de l’eau ?</w:t>
      </w:r>
    </w:p>
    <w:p w14:paraId="016DFA06" w14:textId="77777777" w:rsidR="00606865" w:rsidRDefault="00DA1A20">
      <w:pPr>
        <w:jc w:val="center"/>
        <w:rPr>
          <w:rFonts w:ascii="Times New Roman" w:hAnsi="Times New Roman" w:cs="Times New Roman"/>
          <w:bCs/>
          <w:highlight w:val="white"/>
        </w:rPr>
      </w:pPr>
      <w:r>
        <w:rPr>
          <w:rFonts w:ascii="Times New Roman" w:hAnsi="Times New Roman" w:cs="Times New Roman"/>
          <w:bCs/>
          <w:shd w:val="clear" w:color="auto" w:fill="FFFFFF"/>
        </w:rPr>
        <w:t xml:space="preserve">de pérennité de la ressource eau ? </w:t>
      </w:r>
    </w:p>
    <w:p w14:paraId="731D7A57" w14:textId="77777777" w:rsidR="00606865" w:rsidRDefault="00606865">
      <w:pPr>
        <w:pStyle w:val="Paragraphedeliste"/>
        <w:ind w:left="1080"/>
        <w:rPr>
          <w:rFonts w:ascii="Times New Roman" w:hAnsi="Times New Roman" w:cs="Times New Roman"/>
          <w:bCs/>
          <w:highlight w:val="white"/>
        </w:rPr>
      </w:pPr>
    </w:p>
    <w:p w14:paraId="4CEB445B" w14:textId="77777777" w:rsidR="00606865" w:rsidRDefault="00DA1A20">
      <w:pPr>
        <w:pStyle w:val="Paragraphedeliste"/>
        <w:numPr>
          <w:ilvl w:val="0"/>
          <w:numId w:val="4"/>
        </w:numPr>
        <w:jc w:val="center"/>
        <w:rPr>
          <w:rFonts w:ascii="Times New Roman" w:hAnsi="Times New Roman" w:cs="Times New Roman"/>
          <w:bCs/>
          <w:highlight w:val="white"/>
        </w:rPr>
      </w:pPr>
      <w:r>
        <w:rPr>
          <w:rFonts w:ascii="Times New Roman" w:hAnsi="Times New Roman" w:cs="Times New Roman"/>
          <w:bCs/>
          <w:shd w:val="clear" w:color="auto" w:fill="FFFFFF"/>
        </w:rPr>
        <w:t>Gestion et solutions</w:t>
      </w:r>
    </w:p>
    <w:p w14:paraId="78AA39E3" w14:textId="77777777" w:rsidR="00606865" w:rsidRDefault="00DA1A20">
      <w:pPr>
        <w:jc w:val="center"/>
      </w:pPr>
      <w:r>
        <w:rPr>
          <w:rFonts w:ascii="Times New Roman" w:hAnsi="Times New Roman" w:cs="Times New Roman"/>
          <w:bCs/>
          <w:shd w:val="clear" w:color="auto" w:fill="FFFFFF"/>
        </w:rPr>
        <w:t xml:space="preserve">Comment mieux </w:t>
      </w:r>
      <w:r>
        <w:rPr>
          <w:rFonts w:ascii="Times New Roman" w:eastAsia="Calibri" w:hAnsi="Times New Roman" w:cs="Times New Roman"/>
          <w:bCs/>
          <w:shd w:val="clear" w:color="auto" w:fill="FFFFFF"/>
        </w:rPr>
        <w:t>accompagner</w:t>
      </w:r>
      <w:r>
        <w:rPr>
          <w:rFonts w:ascii="Times New Roman" w:hAnsi="Times New Roman" w:cs="Times New Roman"/>
          <w:bCs/>
          <w:shd w:val="clear" w:color="auto" w:fill="FFFFFF"/>
        </w:rPr>
        <w:t xml:space="preserve"> les agriculteurs dans leur lutte contre la sécheresse </w:t>
      </w:r>
      <w:r>
        <w:rPr>
          <w:rFonts w:ascii="Times New Roman" w:hAnsi="Times New Roman" w:cs="Times New Roman"/>
          <w:bCs/>
          <w:shd w:val="clear" w:color="auto" w:fill="FFFFFF"/>
        </w:rPr>
        <w:br/>
        <w:t>et le consommateur dans la maîtrise de ses multiples usages domestiques ?</w:t>
      </w:r>
    </w:p>
    <w:p w14:paraId="357BA9B5" w14:textId="2696E424" w:rsidR="00606865" w:rsidRDefault="00DA1A20">
      <w:pPr>
        <w:jc w:val="center"/>
      </w:pPr>
      <w:r>
        <w:rPr>
          <w:rFonts w:ascii="Times New Roman" w:hAnsi="Times New Roman" w:cs="Times New Roman"/>
          <w:bCs/>
          <w:color w:val="222222"/>
          <w:shd w:val="clear" w:color="auto" w:fill="FFFFFF"/>
        </w:rPr>
        <w:t>Actuellement en débat, la Politique Agricole Commune envisagée répond-elle à la déclinaison des ambitions écologiques de l’Eur</w:t>
      </w:r>
      <w:r>
        <w:rPr>
          <w:rFonts w:ascii="Times New Roman" w:hAnsi="Times New Roman" w:cs="Times New Roman"/>
          <w:bCs/>
          <w:color w:val="222222"/>
          <w:shd w:val="clear" w:color="auto" w:fill="FFFFFF"/>
        </w:rPr>
        <w:t xml:space="preserve">ope et de la France appliquées à </w:t>
      </w:r>
      <w:r w:rsidR="00582AB2">
        <w:rPr>
          <w:rFonts w:ascii="Times New Roman" w:hAnsi="Times New Roman" w:cs="Times New Roman"/>
          <w:bCs/>
          <w:color w:val="222222"/>
          <w:shd w:val="clear" w:color="auto" w:fill="FFFFFF"/>
        </w:rPr>
        <w:t>l’eau ?</w:t>
      </w:r>
      <w:r>
        <w:rPr>
          <w:rFonts w:ascii="Times New Roman" w:hAnsi="Times New Roman" w:cs="Times New Roman"/>
          <w:bCs/>
          <w:color w:val="222222"/>
          <w:shd w:val="clear" w:color="auto" w:fill="FFFFFF"/>
        </w:rPr>
        <w:t xml:space="preserve"> </w:t>
      </w:r>
    </w:p>
    <w:p w14:paraId="642A627D" w14:textId="77777777" w:rsidR="00606865" w:rsidRDefault="00DA1A20">
      <w:pPr>
        <w:jc w:val="center"/>
        <w:rPr>
          <w:rFonts w:ascii="Times New Roman" w:hAnsi="Times New Roman" w:cs="Times New Roman"/>
          <w:bCs/>
          <w:highlight w:val="white"/>
        </w:rPr>
      </w:pPr>
      <w:r>
        <w:rPr>
          <w:rFonts w:ascii="Times New Roman" w:hAnsi="Times New Roman" w:cs="Times New Roman"/>
          <w:bCs/>
          <w:shd w:val="clear" w:color="auto" w:fill="FFFFFF"/>
        </w:rPr>
        <w:t xml:space="preserve">En ville comme à l’échelle d’un territoire, qu’attendre des Solutions Fondées sur la Nature ? </w:t>
      </w:r>
    </w:p>
    <w:p w14:paraId="4911382A" w14:textId="77777777" w:rsidR="00606865" w:rsidRDefault="00606865">
      <w:pPr>
        <w:pStyle w:val="Paragraphedeliste"/>
        <w:ind w:left="1080"/>
        <w:rPr>
          <w:rFonts w:ascii="Times New Roman" w:hAnsi="Times New Roman" w:cs="Times New Roman"/>
          <w:bCs/>
        </w:rPr>
      </w:pPr>
    </w:p>
    <w:p w14:paraId="34A48C88" w14:textId="77777777" w:rsidR="00606865" w:rsidRDefault="00DA1A20">
      <w:pPr>
        <w:pStyle w:val="Paragraphedeliste"/>
        <w:numPr>
          <w:ilvl w:val="0"/>
          <w:numId w:val="4"/>
        </w:numPr>
        <w:jc w:val="center"/>
        <w:rPr>
          <w:rFonts w:ascii="Times New Roman" w:hAnsi="Times New Roman" w:cs="Times New Roman"/>
          <w:bCs/>
        </w:rPr>
      </w:pPr>
      <w:r>
        <w:rPr>
          <w:rFonts w:ascii="Times New Roman" w:hAnsi="Times New Roman" w:cs="Times New Roman"/>
          <w:bCs/>
        </w:rPr>
        <w:t>Rôle des Alumni</w:t>
      </w:r>
    </w:p>
    <w:p w14:paraId="27B01F1D" w14:textId="77777777" w:rsidR="00606865" w:rsidRDefault="00DA1A20">
      <w:pPr>
        <w:jc w:val="center"/>
        <w:rPr>
          <w:rFonts w:ascii="Times New Roman" w:hAnsi="Times New Roman" w:cs="Times New Roman"/>
          <w:bCs/>
          <w:color w:val="222222"/>
          <w:highlight w:val="white"/>
        </w:rPr>
      </w:pPr>
      <w:r>
        <w:rPr>
          <w:rFonts w:ascii="Times New Roman" w:hAnsi="Times New Roman" w:cs="Times New Roman"/>
          <w:bCs/>
        </w:rPr>
        <w:t xml:space="preserve">Quel rôle pour les ingénieurs du Vivant dans le renouveau des </w:t>
      </w:r>
      <w:r>
        <w:rPr>
          <w:rFonts w:ascii="Times New Roman" w:hAnsi="Times New Roman" w:cs="Times New Roman"/>
          <w:bCs/>
          <w:iCs/>
          <w:color w:val="222222"/>
          <w:shd w:val="clear" w:color="auto" w:fill="FFFFFF"/>
        </w:rPr>
        <w:t>modes de développement économique et urbain et du financement des collectivités locales face aux nouveaux enjeux du cycle de l’eau ?</w:t>
      </w:r>
    </w:p>
    <w:p w14:paraId="763D5CA8" w14:textId="77777777" w:rsidR="00B95A1D" w:rsidRDefault="00B95A1D">
      <w:pPr>
        <w:suppressAutoHyphens/>
        <w:spacing w:line="247" w:lineRule="auto"/>
        <w:jc w:val="center"/>
        <w:textAlignment w:val="baseline"/>
        <w:rPr>
          <w:rFonts w:ascii="Times New Roman" w:eastAsia="Calibri" w:hAnsi="Times New Roman" w:cs="Times New Roman"/>
          <w:kern w:val="2"/>
          <w:lang w:eastAsia="zh-CN"/>
        </w:rPr>
      </w:pPr>
    </w:p>
    <w:p w14:paraId="6A090120" w14:textId="77777777" w:rsidR="00B95A1D" w:rsidRDefault="00B95A1D">
      <w:pPr>
        <w:suppressAutoHyphens/>
        <w:spacing w:line="247" w:lineRule="auto"/>
        <w:jc w:val="center"/>
        <w:textAlignment w:val="baseline"/>
        <w:rPr>
          <w:rFonts w:ascii="Times New Roman" w:eastAsia="Calibri" w:hAnsi="Times New Roman" w:cs="Times New Roman"/>
          <w:kern w:val="2"/>
          <w:lang w:eastAsia="zh-CN"/>
        </w:rPr>
      </w:pPr>
    </w:p>
    <w:p w14:paraId="376C6307" w14:textId="77777777" w:rsidR="00B95A1D" w:rsidRDefault="00B95A1D">
      <w:pPr>
        <w:suppressAutoHyphens/>
        <w:spacing w:line="247" w:lineRule="auto"/>
        <w:jc w:val="center"/>
        <w:textAlignment w:val="baseline"/>
        <w:rPr>
          <w:rFonts w:ascii="Times New Roman" w:eastAsia="Calibri" w:hAnsi="Times New Roman" w:cs="Times New Roman"/>
          <w:kern w:val="2"/>
          <w:lang w:eastAsia="zh-CN"/>
        </w:rPr>
      </w:pPr>
    </w:p>
    <w:p w14:paraId="62264D9D" w14:textId="767D13C5" w:rsidR="00606865" w:rsidRDefault="00DA1A20">
      <w:pPr>
        <w:suppressAutoHyphens/>
        <w:spacing w:line="247" w:lineRule="auto"/>
        <w:jc w:val="center"/>
        <w:textAlignment w:val="baseline"/>
        <w:rPr>
          <w:rFonts w:ascii="Times New Roman" w:eastAsia="Calibri" w:hAnsi="Times New Roman" w:cs="Times New Roman"/>
          <w:kern w:val="2"/>
          <w:lang w:eastAsia="zh-CN"/>
        </w:rPr>
      </w:pPr>
      <w:r>
        <w:rPr>
          <w:rFonts w:ascii="Times New Roman" w:eastAsia="Calibri" w:hAnsi="Times New Roman" w:cs="Times New Roman"/>
          <w:kern w:val="2"/>
          <w:lang w:eastAsia="zh-CN"/>
        </w:rPr>
        <w:lastRenderedPageBreak/>
        <w:t>Mardi du Quai Voltaire – 9 juin 2020</w:t>
      </w:r>
    </w:p>
    <w:p w14:paraId="727C737F" w14:textId="77777777" w:rsidR="00606865" w:rsidRDefault="00DA1A20">
      <w:pPr>
        <w:suppressAutoHyphens/>
        <w:spacing w:line="247" w:lineRule="auto"/>
        <w:jc w:val="center"/>
        <w:textAlignment w:val="baseline"/>
        <w:rPr>
          <w:rFonts w:ascii="Times New Roman" w:eastAsia="Calibri" w:hAnsi="Times New Roman" w:cs="Times New Roman"/>
          <w:kern w:val="2"/>
          <w:lang w:eastAsia="zh-CN"/>
        </w:rPr>
      </w:pPr>
      <w:r>
        <w:rPr>
          <w:rFonts w:ascii="Times New Roman" w:eastAsia="Calibri" w:hAnsi="Times New Roman" w:cs="Times New Roman"/>
          <w:kern w:val="2"/>
          <w:lang w:eastAsia="zh-CN"/>
        </w:rPr>
        <w:t>Et si l’eau venait à nous manquer ?</w:t>
      </w:r>
    </w:p>
    <w:p w14:paraId="2B67CBD2" w14:textId="77777777" w:rsidR="00606865" w:rsidRDefault="00DA1A20">
      <w:pPr>
        <w:suppressAutoHyphens/>
        <w:spacing w:line="247" w:lineRule="auto"/>
        <w:jc w:val="center"/>
        <w:textAlignment w:val="baseline"/>
        <w:rPr>
          <w:rFonts w:ascii="Times New Roman" w:eastAsia="Calibri" w:hAnsi="Times New Roman" w:cs="Times New Roman"/>
          <w:b/>
          <w:bCs/>
          <w:kern w:val="2"/>
          <w:lang w:eastAsia="zh-CN"/>
        </w:rPr>
      </w:pPr>
      <w:r>
        <w:rPr>
          <w:rFonts w:ascii="Times New Roman" w:eastAsia="Calibri" w:hAnsi="Times New Roman" w:cs="Times New Roman"/>
          <w:b/>
          <w:bCs/>
          <w:kern w:val="2"/>
          <w:lang w:eastAsia="zh-CN"/>
        </w:rPr>
        <w:t>Note de cadrage</w:t>
      </w:r>
    </w:p>
    <w:p w14:paraId="4802F45B" w14:textId="77777777" w:rsidR="00606865" w:rsidRDefault="00606865">
      <w:pPr>
        <w:jc w:val="both"/>
        <w:rPr>
          <w:rFonts w:ascii="Times New Roman" w:hAnsi="Times New Roman" w:cs="Times New Roman"/>
          <w:i/>
          <w:iCs/>
        </w:rPr>
      </w:pPr>
    </w:p>
    <w:p w14:paraId="34652253" w14:textId="77777777" w:rsidR="00606865" w:rsidRDefault="00DA1A20">
      <w:pPr>
        <w:ind w:left="2124"/>
        <w:jc w:val="both"/>
        <w:rPr>
          <w:rFonts w:ascii="Times New Roman" w:hAnsi="Times New Roman" w:cs="Times New Roman"/>
          <w:i/>
          <w:iCs/>
        </w:rPr>
      </w:pPr>
      <w:r>
        <w:rPr>
          <w:rFonts w:ascii="Times New Roman" w:hAnsi="Times New Roman" w:cs="Times New Roman"/>
          <w:i/>
          <w:iCs/>
        </w:rPr>
        <w:t xml:space="preserve">« J’estime que la voie du progrès se trouve dans la reconnaissance et le développement d’organismes semi-autonomes au sein de l’Etat. Ces organismes auront pour seul </w:t>
      </w:r>
      <w:r>
        <w:rPr>
          <w:rFonts w:ascii="Times New Roman" w:hAnsi="Times New Roman" w:cs="Times New Roman"/>
          <w:i/>
          <w:iCs/>
        </w:rPr>
        <w:t>critère d’action, dans leur domaine propre, le bien public tel qu’ils le conçoivent. … ces organismes seraient, pour l’essentiel, autonomes en ce qui concerne leurs affaires courantes mais ils seraient soumis en dernier ressort à la souveraineté démocratiq</w:t>
      </w:r>
      <w:r>
        <w:rPr>
          <w:rFonts w:ascii="Times New Roman" w:hAnsi="Times New Roman" w:cs="Times New Roman"/>
          <w:i/>
          <w:iCs/>
        </w:rPr>
        <w:t xml:space="preserve">ue du Parlement. Je propose de revenir à la conception médiévale d’entités autonomes indépendantes. » </w:t>
      </w:r>
    </w:p>
    <w:p w14:paraId="26E286C5" w14:textId="77777777" w:rsidR="00606865" w:rsidRDefault="00DA1A20">
      <w:pPr>
        <w:ind w:left="2124"/>
        <w:jc w:val="right"/>
        <w:rPr>
          <w:rFonts w:ascii="Times New Roman" w:hAnsi="Times New Roman" w:cs="Times New Roman"/>
          <w:i/>
          <w:iCs/>
        </w:rPr>
      </w:pPr>
      <w:r>
        <w:rPr>
          <w:rFonts w:ascii="Times New Roman" w:hAnsi="Times New Roman" w:cs="Times New Roman"/>
          <w:i/>
          <w:iCs/>
        </w:rPr>
        <w:t>J. Maynard Keynes, « La fin du laissez-faire » (1924)</w:t>
      </w:r>
    </w:p>
    <w:p w14:paraId="5B590B62" w14:textId="77777777" w:rsidR="00606865" w:rsidRDefault="00606865">
      <w:pPr>
        <w:jc w:val="both"/>
        <w:rPr>
          <w:rFonts w:ascii="Times New Roman" w:hAnsi="Times New Roman" w:cs="Times New Roman"/>
        </w:rPr>
      </w:pPr>
    </w:p>
    <w:p w14:paraId="021683F3" w14:textId="77777777" w:rsidR="00606865" w:rsidRDefault="00DA1A20">
      <w:pPr>
        <w:jc w:val="both"/>
        <w:rPr>
          <w:rFonts w:ascii="Times New Roman" w:hAnsi="Times New Roman" w:cs="Times New Roman"/>
          <w:color w:val="222222"/>
          <w:highlight w:val="white"/>
        </w:rPr>
      </w:pPr>
      <w:r>
        <w:rPr>
          <w:rFonts w:ascii="Times New Roman" w:hAnsi="Times New Roman" w:cs="Times New Roman"/>
        </w:rPr>
        <w:t>Avec l’eau, le réchauffement climatique soulève des questions de bien public et de gouvernance, co</w:t>
      </w:r>
      <w:r>
        <w:rPr>
          <w:rFonts w:ascii="Times New Roman" w:hAnsi="Times New Roman" w:cs="Times New Roman"/>
        </w:rPr>
        <w:t xml:space="preserve">mme le dit </w:t>
      </w:r>
      <w:r>
        <w:rPr>
          <w:rFonts w:ascii="Times New Roman" w:hAnsi="Times New Roman" w:cs="Times New Roman"/>
          <w:color w:val="222222"/>
          <w:shd w:val="clear" w:color="auto" w:fill="FFFFFF"/>
        </w:rPr>
        <w:t xml:space="preserve">la loi du 3 janvier 1992 : </w:t>
      </w:r>
    </w:p>
    <w:p w14:paraId="34D0B07C" w14:textId="77777777" w:rsidR="00606865" w:rsidRDefault="00DA1A20">
      <w:pPr>
        <w:ind w:left="708"/>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L'</w:t>
      </w:r>
      <w:r>
        <w:rPr>
          <w:rFonts w:ascii="Times New Roman" w:hAnsi="Times New Roman" w:cs="Times New Roman"/>
          <w:i/>
          <w:iCs/>
          <w:shd w:val="clear" w:color="auto" w:fill="FFFFFF"/>
        </w:rPr>
        <w:t>eau</w:t>
      </w:r>
      <w:r>
        <w:rPr>
          <w:rFonts w:ascii="Times New Roman" w:hAnsi="Times New Roman" w:cs="Times New Roman"/>
          <w:i/>
          <w:iCs/>
          <w:color w:val="222222"/>
          <w:shd w:val="clear" w:color="auto" w:fill="FFFFFF"/>
        </w:rPr>
        <w:t> fait partie du patrimoine commun de la nation. Sa protection, sa mise en valeur et le développement de la ressource utilisable, dans le respect des équilibres naturels, sont d'intérêt général.</w:t>
      </w:r>
      <w:r>
        <w:rPr>
          <w:rFonts w:ascii="Times New Roman" w:hAnsi="Times New Roman" w:cs="Times New Roman"/>
          <w:color w:val="222222"/>
          <w:shd w:val="clear" w:color="auto" w:fill="FFFFFF"/>
        </w:rPr>
        <w:t> »</w:t>
      </w:r>
    </w:p>
    <w:p w14:paraId="450F4929"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000000"/>
          <w:shd w:val="clear" w:color="auto" w:fill="FFFFFF"/>
        </w:rPr>
        <w:t>En tant que re</w:t>
      </w:r>
      <w:r>
        <w:rPr>
          <w:rFonts w:ascii="Times New Roman" w:hAnsi="Times New Roman" w:cs="Times New Roman"/>
          <w:color w:val="000000"/>
          <w:shd w:val="clear" w:color="auto" w:fill="FFFFFF"/>
        </w:rPr>
        <w:t>ssource naturelle en mouvement permanent, l’eau est difficilement saisissable par le droit.</w:t>
      </w:r>
      <w:r>
        <w:rPr>
          <w:rStyle w:val="Accentuation1"/>
          <w:rFonts w:ascii="Times New Roman" w:hAnsi="Times New Roman" w:cs="Times New Roman"/>
          <w:i w:val="0"/>
          <w:iCs w:val="0"/>
          <w:color w:val="000000"/>
          <w:shd w:val="clear" w:color="auto" w:fill="FFFFFF"/>
        </w:rPr>
        <w:t xml:space="preserve"> En France, celui-ci n’a intégré le concept de bassin versant qu’au début des années 1960. En </w:t>
      </w:r>
      <w:r>
        <w:rPr>
          <w:rFonts w:ascii="Times New Roman" w:hAnsi="Times New Roman" w:cs="Times New Roman"/>
          <w:color w:val="000000"/>
          <w:shd w:val="clear" w:color="auto" w:fill="FFFFFF"/>
        </w:rPr>
        <w:t xml:space="preserve">fait, avant d’être une ressource naturelle, l’eau est un système </w:t>
      </w:r>
      <w:r>
        <w:rPr>
          <w:rFonts w:ascii="Times New Roman" w:hAnsi="Times New Roman" w:cs="Times New Roman"/>
          <w:color w:val="000000"/>
          <w:shd w:val="clear" w:color="auto" w:fill="FFFFFF"/>
        </w:rPr>
        <w:t>naturel, désigné comme cycle de l’eau.</w:t>
      </w:r>
    </w:p>
    <w:p w14:paraId="767678A4" w14:textId="77777777" w:rsidR="00606865" w:rsidRDefault="00DA1A20">
      <w:pPr>
        <w:ind w:left="708"/>
        <w:jc w:val="center"/>
        <w:rPr>
          <w:rFonts w:ascii="Times New Roman" w:hAnsi="Times New Roman" w:cs="Times New Roman"/>
        </w:rPr>
      </w:pPr>
      <w:r>
        <w:rPr>
          <w:noProof/>
        </w:rPr>
        <w:drawing>
          <wp:inline distT="0" distB="0" distL="0" distR="0" wp14:anchorId="08176A57" wp14:editId="05572F93">
            <wp:extent cx="3813175" cy="2639695"/>
            <wp:effectExtent l="0" t="0" r="0" b="0"/>
            <wp:docPr id="1" name="Picture 2" descr="eau - eau france -cycle eau - schema cycle eau - encyclopedie envir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au - eau france -cycle eau - schema cycle eau - encyclopedie environnement"/>
                    <pic:cNvPicPr>
                      <a:picLocks noChangeAspect="1" noChangeArrowheads="1"/>
                    </pic:cNvPicPr>
                  </pic:nvPicPr>
                  <pic:blipFill>
                    <a:blip r:embed="rId9"/>
                    <a:stretch>
                      <a:fillRect/>
                    </a:stretch>
                  </pic:blipFill>
                  <pic:spPr bwMode="auto">
                    <a:xfrm>
                      <a:off x="0" y="0"/>
                      <a:ext cx="3813175" cy="2639695"/>
                    </a:xfrm>
                    <a:prstGeom prst="rect">
                      <a:avLst/>
                    </a:prstGeom>
                  </pic:spPr>
                </pic:pic>
              </a:graphicData>
            </a:graphic>
          </wp:inline>
        </w:drawing>
      </w:r>
    </w:p>
    <w:p w14:paraId="39FF281C" w14:textId="77777777" w:rsidR="00606865" w:rsidRDefault="00DA1A20">
      <w:pPr>
        <w:ind w:left="708"/>
        <w:jc w:val="right"/>
      </w:pPr>
      <w:r>
        <w:rPr>
          <w:rFonts w:ascii="Times New Roman" w:hAnsi="Times New Roman" w:cs="Times New Roman"/>
          <w:lang w:val="en-GB"/>
        </w:rPr>
        <w:t>(Source :</w:t>
      </w:r>
      <w:hyperlink r:id="rId10" w:anchor="qt-science_center_objects" w:history="1">
        <w:r>
          <w:rPr>
            <w:rStyle w:val="LienInternet"/>
            <w:rFonts w:ascii="Times New Roman" w:hAnsi="Times New Roman" w:cs="Times New Roman"/>
            <w:lang w:val="en-GB"/>
          </w:rPr>
          <w:t>United States Geological Service</w:t>
        </w:r>
      </w:hyperlink>
      <w:r>
        <w:rPr>
          <w:rFonts w:ascii="Times New Roman" w:hAnsi="Times New Roman" w:cs="Times New Roman"/>
          <w:lang w:val="en-GB"/>
        </w:rPr>
        <w:t>)</w:t>
      </w:r>
    </w:p>
    <w:p w14:paraId="0CB28FD2" w14:textId="77777777" w:rsidR="00606865" w:rsidRDefault="00606865">
      <w:pPr>
        <w:jc w:val="both"/>
        <w:rPr>
          <w:rFonts w:ascii="Times New Roman" w:hAnsi="Times New Roman" w:cs="Times New Roman"/>
          <w:lang w:val="en-GB"/>
        </w:rPr>
      </w:pPr>
    </w:p>
    <w:p w14:paraId="39441001" w14:textId="77777777" w:rsidR="00606865" w:rsidRDefault="00DA1A20">
      <w:pPr>
        <w:spacing w:line="240" w:lineRule="auto"/>
        <w:jc w:val="both"/>
      </w:pPr>
      <w:r>
        <w:rPr>
          <w:rFonts w:ascii="Times New Roman" w:hAnsi="Times New Roman" w:cs="Times New Roman"/>
        </w:rPr>
        <w:t>Cependant, un récent article paru dans Nature (</w:t>
      </w:r>
      <w:hyperlink r:id="rId11">
        <w:r>
          <w:rPr>
            <w:rStyle w:val="LienInternet"/>
            <w:rFonts w:ascii="Times New Roman" w:hAnsi="Times New Roman" w:cs="Times New Roman"/>
          </w:rPr>
          <w:t xml:space="preserve">Water cycle in </w:t>
        </w:r>
        <w:proofErr w:type="spellStart"/>
        <w:r>
          <w:rPr>
            <w:rStyle w:val="LienInternet"/>
            <w:rFonts w:ascii="Times New Roman" w:hAnsi="Times New Roman" w:cs="Times New Roman"/>
          </w:rPr>
          <w:t>Anthropocen</w:t>
        </w:r>
        <w:proofErr w:type="spellEnd"/>
      </w:hyperlink>
      <w:r>
        <w:rPr>
          <w:rFonts w:ascii="Times New Roman" w:hAnsi="Times New Roman" w:cs="Times New Roman"/>
        </w:rPr>
        <w:t>) pointe le caractère trompeur de la représentation traditionnelle du cycle de l’eau dès lors que les humains ont modifié ce cycle (barrages, transferts interbassin, l'irrigation, etc...). Ce type de schéma hors influence humaine ne permet donc plus de pen</w:t>
      </w:r>
      <w:r>
        <w:rPr>
          <w:rFonts w:ascii="Times New Roman" w:hAnsi="Times New Roman" w:cs="Times New Roman"/>
        </w:rPr>
        <w:t xml:space="preserve">ser la situation actuelle. </w:t>
      </w:r>
    </w:p>
    <w:p w14:paraId="5BC66766" w14:textId="77777777" w:rsidR="00DA1A20" w:rsidRDefault="00DA1A20">
      <w:pPr>
        <w:jc w:val="both"/>
        <w:rPr>
          <w:rFonts w:ascii="Times New Roman" w:hAnsi="Times New Roman" w:cs="Times New Roman"/>
        </w:rPr>
      </w:pPr>
    </w:p>
    <w:p w14:paraId="03BB4D91" w14:textId="77777777" w:rsidR="00DA1A20" w:rsidRDefault="00DA1A20">
      <w:pPr>
        <w:jc w:val="both"/>
        <w:rPr>
          <w:rFonts w:ascii="Times New Roman" w:hAnsi="Times New Roman" w:cs="Times New Roman"/>
        </w:rPr>
      </w:pPr>
    </w:p>
    <w:p w14:paraId="3DD0BDD2" w14:textId="77777777" w:rsidR="00DA1A20" w:rsidRDefault="00DA1A20">
      <w:pPr>
        <w:jc w:val="both"/>
        <w:rPr>
          <w:rFonts w:ascii="Times New Roman" w:hAnsi="Times New Roman" w:cs="Times New Roman"/>
        </w:rPr>
      </w:pPr>
    </w:p>
    <w:p w14:paraId="0326D05B" w14:textId="439B747D" w:rsidR="00606865" w:rsidRDefault="00DA1A20">
      <w:pPr>
        <w:jc w:val="both"/>
      </w:pPr>
      <w:r>
        <w:rPr>
          <w:rFonts w:ascii="Times New Roman" w:hAnsi="Times New Roman" w:cs="Times New Roman"/>
        </w:rPr>
        <w:t>Historiquement, l’administration de l’eau rappelle l’héritage romain. L</w:t>
      </w:r>
      <w:r>
        <w:rPr>
          <w:rFonts w:ascii="Times New Roman" w:hAnsi="Times New Roman" w:cs="Times New Roman"/>
          <w:color w:val="000000"/>
          <w:shd w:val="clear" w:color="auto" w:fill="FFFFFF"/>
        </w:rPr>
        <w:t>e droit romain prévoyait en effet une </w:t>
      </w:r>
      <w:r>
        <w:rPr>
          <w:rFonts w:ascii="Times New Roman" w:hAnsi="Times New Roman" w:cs="Times New Roman"/>
          <w:color w:val="222222"/>
          <w:shd w:val="clear" w:color="auto" w:fill="FFFFFF"/>
        </w:rPr>
        <w:t>liberté d’accès à l’</w:t>
      </w:r>
      <w:r>
        <w:rPr>
          <w:rFonts w:ascii="Times New Roman" w:hAnsi="Times New Roman" w:cs="Times New Roman"/>
          <w:i/>
          <w:iCs/>
          <w:color w:val="222222"/>
          <w:shd w:val="clear" w:color="auto" w:fill="FFFFFF"/>
        </w:rPr>
        <w:t>aqua publica,</w:t>
      </w:r>
      <w:r>
        <w:rPr>
          <w:rFonts w:ascii="Times New Roman" w:hAnsi="Times New Roman" w:cs="Times New Roman"/>
          <w:color w:val="000000"/>
          <w:shd w:val="clear" w:color="auto" w:fill="FFFFFF"/>
        </w:rPr>
        <w:t xml:space="preserve"> expression désignant principalement l’eau courante et pérenne des fleuves et des rivi</w:t>
      </w:r>
      <w:r>
        <w:rPr>
          <w:rFonts w:ascii="Times New Roman" w:hAnsi="Times New Roman" w:cs="Times New Roman"/>
          <w:color w:val="000000"/>
          <w:shd w:val="clear" w:color="auto" w:fill="FFFFFF"/>
        </w:rPr>
        <w:t xml:space="preserve">ères. Dans l’Union européenne, depuis la directive-cadre sur l’eau (DCE, 2000) qui impose l’objectif d’assurer le </w:t>
      </w:r>
      <w:r>
        <w:rPr>
          <w:rFonts w:ascii="Times New Roman" w:hAnsi="Times New Roman" w:cs="Times New Roman"/>
          <w:color w:val="222222"/>
          <w:shd w:val="clear" w:color="auto" w:fill="FFFFFF"/>
        </w:rPr>
        <w:t xml:space="preserve">bon état général </w:t>
      </w:r>
      <w:r>
        <w:rPr>
          <w:rFonts w:ascii="Times New Roman" w:hAnsi="Times New Roman" w:cs="Times New Roman"/>
          <w:bCs/>
          <w:color w:val="222222"/>
          <w:shd w:val="clear" w:color="auto" w:fill="FFFFFF"/>
        </w:rPr>
        <w:t>des eaux souterraines et des eaux superficielles, y compris les eaux estuariennes et côtières</w:t>
      </w:r>
      <w:r>
        <w:rPr>
          <w:rFonts w:ascii="Times New Roman" w:hAnsi="Times New Roman" w:cs="Times New Roman"/>
          <w:color w:val="222222"/>
          <w:shd w:val="clear" w:color="auto" w:fill="FFFFFF"/>
        </w:rPr>
        <w:t xml:space="preserve">. </w:t>
      </w:r>
      <w:r>
        <w:rPr>
          <w:rFonts w:ascii="Times New Roman" w:hAnsi="Times New Roman" w:cs="Times New Roman"/>
          <w:bCs/>
          <w:color w:val="222222"/>
          <w:shd w:val="clear" w:color="auto" w:fill="FFFFFF"/>
        </w:rPr>
        <w:t>La loi de 2006</w:t>
      </w:r>
      <w:r>
        <w:rPr>
          <w:rFonts w:ascii="Times New Roman" w:hAnsi="Times New Roman" w:cs="Times New Roman"/>
          <w:color w:val="222222"/>
          <w:shd w:val="clear" w:color="auto" w:fill="FFFFFF"/>
        </w:rPr>
        <w:t xml:space="preserve"> refonde les principes de tarification de l’eau, notamment afin de garantir une plus grande transparence au consommateur. Elle introduit le principe du « droit à l’eau » et prévoit de tenir compte du changement climatique dans l’ensemble des décisions rela</w:t>
      </w:r>
      <w:r>
        <w:rPr>
          <w:rFonts w:ascii="Times New Roman" w:hAnsi="Times New Roman" w:cs="Times New Roman"/>
          <w:color w:val="222222"/>
          <w:shd w:val="clear" w:color="auto" w:fill="FFFFFF"/>
        </w:rPr>
        <w:t xml:space="preserve">tives à la gestion de l’eau. </w:t>
      </w:r>
      <w:r>
        <w:rPr>
          <w:rFonts w:ascii="Times New Roman" w:hAnsi="Times New Roman" w:cs="Times New Roman"/>
          <w:color w:val="1E1E1F"/>
          <w:shd w:val="clear" w:color="auto" w:fill="FFFFFF"/>
        </w:rPr>
        <w:t>En 2014, une initiative citoyenne, «</w:t>
      </w:r>
      <w:hyperlink r:id="rId12">
        <w:r>
          <w:rPr>
            <w:rStyle w:val="LienInternet"/>
            <w:rFonts w:ascii="Times New Roman" w:hAnsi="Times New Roman" w:cs="Times New Roman"/>
            <w:i/>
            <w:iCs/>
          </w:rPr>
          <w:t>Right2Water</w:t>
        </w:r>
      </w:hyperlink>
      <w:r>
        <w:rPr>
          <w:rFonts w:ascii="Times New Roman" w:hAnsi="Times New Roman" w:cs="Times New Roman"/>
          <w:color w:val="1E1E1F"/>
          <w:shd w:val="clear" w:color="auto" w:fill="FFFFFF"/>
        </w:rPr>
        <w:t>», a appelé les institutions de l’Union européenne et les États membres à veiller à ce que tous les citoyens aient droit à l’eau et à</w:t>
      </w:r>
      <w:r>
        <w:rPr>
          <w:rFonts w:ascii="Times New Roman" w:hAnsi="Times New Roman" w:cs="Times New Roman"/>
          <w:color w:val="1E1E1F"/>
          <w:shd w:val="clear" w:color="auto" w:fill="FFFFFF"/>
        </w:rPr>
        <w:t xml:space="preserve"> l’assainissement. </w:t>
      </w:r>
      <w:hyperlink r:id="rId13">
        <w:r>
          <w:rPr>
            <w:rFonts w:ascii="Times New Roman" w:hAnsi="Times New Roman" w:cs="Times New Roman"/>
          </w:rPr>
          <w:t>En réponse à cette initiative</w:t>
        </w:r>
      </w:hyperlink>
      <w:r>
        <w:rPr>
          <w:rFonts w:ascii="Times New Roman" w:hAnsi="Times New Roman" w:cs="Times New Roman"/>
          <w:color w:val="1E1E1F"/>
          <w:shd w:val="clear" w:color="auto" w:fill="FFFFFF"/>
        </w:rPr>
        <w:t>, le Parlement européen a invité la Commission à présenter des propositions législatives appliquant le droit humain à l’e</w:t>
      </w:r>
      <w:r>
        <w:rPr>
          <w:rFonts w:ascii="Times New Roman" w:hAnsi="Times New Roman" w:cs="Times New Roman"/>
          <w:color w:val="1E1E1F"/>
          <w:shd w:val="clear" w:color="auto" w:fill="FFFFFF"/>
        </w:rPr>
        <w:t>au et à l’assainissement reconnu par les Nations unies.</w:t>
      </w:r>
    </w:p>
    <w:p w14:paraId="0313EC4F" w14:textId="77777777" w:rsidR="00606865" w:rsidRDefault="00DA1A20">
      <w:pPr>
        <w:jc w:val="both"/>
        <w:rPr>
          <w:rFonts w:ascii="Times New Roman" w:hAnsi="Times New Roman" w:cs="Times New Roman"/>
        </w:rPr>
      </w:pPr>
      <w:r>
        <w:rPr>
          <w:rFonts w:ascii="Times New Roman" w:hAnsi="Times New Roman" w:cs="Times New Roman"/>
          <w:color w:val="1E1E1F"/>
          <w:shd w:val="clear" w:color="auto" w:fill="FFFFFF"/>
        </w:rPr>
        <w:t>L’eau est donc un bien commun et une ressource limitée qui doit être protégée et utilisée de manière durable, tant en termes de qualité que de quantité. Elle est cependant soumise à des pressions en r</w:t>
      </w:r>
      <w:r>
        <w:rPr>
          <w:rFonts w:ascii="Times New Roman" w:hAnsi="Times New Roman" w:cs="Times New Roman"/>
          <w:color w:val="1E1E1F"/>
          <w:shd w:val="clear" w:color="auto" w:fill="FFFFFF"/>
        </w:rPr>
        <w:t xml:space="preserve">aison des nombreux usages qui en sont faits par divers secteurs. Ces pressions augmentent sous l’effet du changement climatique. </w:t>
      </w:r>
    </w:p>
    <w:p w14:paraId="2E5D3D7D" w14:textId="77777777" w:rsidR="00606865" w:rsidRDefault="00606865">
      <w:pPr>
        <w:jc w:val="both"/>
        <w:rPr>
          <w:rFonts w:ascii="Times New Roman" w:hAnsi="Times New Roman" w:cs="Times New Roman"/>
          <w:color w:val="222222"/>
          <w:highlight w:val="white"/>
        </w:rPr>
      </w:pPr>
    </w:p>
    <w:p w14:paraId="4A0CA405" w14:textId="77777777" w:rsidR="00606865" w:rsidRDefault="00DA1A20">
      <w:pPr>
        <w:jc w:val="both"/>
        <w:rPr>
          <w:rFonts w:ascii="Times New Roman" w:hAnsi="Times New Roman" w:cs="Times New Roman"/>
          <w:b/>
          <w:color w:val="222222"/>
          <w:highlight w:val="white"/>
        </w:rPr>
      </w:pPr>
      <w:r>
        <w:rPr>
          <w:rFonts w:ascii="Times New Roman" w:hAnsi="Times New Roman" w:cs="Times New Roman"/>
          <w:b/>
          <w:color w:val="222222"/>
          <w:shd w:val="clear" w:color="auto" w:fill="FFFFFF"/>
        </w:rPr>
        <w:t>Le cycle de l’eau et le changement climatique</w:t>
      </w:r>
    </w:p>
    <w:p w14:paraId="61FD2E2E"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Le changement climatique induit des tensions à la fois sur la production d’élec</w:t>
      </w:r>
      <w:r>
        <w:rPr>
          <w:rFonts w:ascii="Times New Roman" w:hAnsi="Times New Roman" w:cs="Times New Roman"/>
          <w:color w:val="222222"/>
          <w:shd w:val="clear" w:color="auto" w:fill="FFFFFF"/>
        </w:rPr>
        <w:t xml:space="preserve">tricité (barrages et nucléaire), sur l’approvisionnement en eau potable des villes, l’irrigation, la navigation fluviale et sur les milieux aquatiques. </w:t>
      </w:r>
      <w:r>
        <w:rPr>
          <w:rFonts w:ascii="Times New Roman" w:hAnsi="Times New Roman" w:cs="Times New Roman"/>
        </w:rPr>
        <w:t>Beaucoup de secteurs d’activité sont (et continueront d’être) concernés par les conflits d’usage de l’ea</w:t>
      </w:r>
      <w:r>
        <w:rPr>
          <w:rFonts w:ascii="Times New Roman" w:hAnsi="Times New Roman" w:cs="Times New Roman"/>
        </w:rPr>
        <w:t>u, l’agriculture - en premier lieu mais non exclusivement - du fait que la France est un pays agricole.</w:t>
      </w:r>
    </w:p>
    <w:p w14:paraId="48E176CC" w14:textId="77777777" w:rsidR="00606865" w:rsidRDefault="00DA1A20">
      <w:pPr>
        <w:rPr>
          <w:rFonts w:ascii="Times New Roman" w:hAnsi="Times New Roman" w:cs="Times New Roman"/>
        </w:rPr>
      </w:pPr>
      <w:r>
        <w:rPr>
          <w:rFonts w:ascii="Times New Roman" w:hAnsi="Times New Roman" w:cs="Times New Roman"/>
        </w:rPr>
        <w:t>Il y a une dizaine d’années, le Ministère de l’écologie a lancé deux exercices de prospective :</w:t>
      </w:r>
    </w:p>
    <w:p w14:paraId="0C975305" w14:textId="77777777" w:rsidR="00606865" w:rsidRDefault="00DA1A20">
      <w:pPr>
        <w:pStyle w:val="Paragraphedeliste"/>
        <w:numPr>
          <w:ilvl w:val="0"/>
          <w:numId w:val="2"/>
        </w:numPr>
        <w:jc w:val="both"/>
      </w:pPr>
      <w:hyperlink r:id="rId14">
        <w:r>
          <w:rPr>
            <w:rStyle w:val="LienInternet"/>
            <w:rFonts w:ascii="Times New Roman" w:hAnsi="Times New Roman" w:cs="Times New Roman"/>
          </w:rPr>
          <w:t>Explore 2070</w:t>
        </w:r>
      </w:hyperlink>
      <w:r>
        <w:rPr>
          <w:rFonts w:ascii="Times New Roman" w:hAnsi="Times New Roman" w:cs="Times New Roman"/>
        </w:rPr>
        <w:t xml:space="preserve">, analysant les besoins d’adaptation de la métropole aux importants changements climatiques attendus à l’horizon 2070, notamment dans la hausse des températures, la baisse de la ressource en </w:t>
      </w:r>
      <w:r>
        <w:rPr>
          <w:rFonts w:ascii="Times New Roman" w:hAnsi="Times New Roman" w:cs="Times New Roman"/>
        </w:rPr>
        <w:t xml:space="preserve">eau, la modification du littoral sous l’effet de l’élévation du niveau de la mer, et la perte de biodiversité aquatique. Les besoins d’adaptation identifiés imposent la maîtrise du gaspillage et du volume de consommation d’eau potable et industrielle, et, </w:t>
      </w:r>
      <w:r>
        <w:rPr>
          <w:rFonts w:ascii="Times New Roman" w:hAnsi="Times New Roman" w:cs="Times New Roman"/>
        </w:rPr>
        <w:t>en agriculture : l’adaptation de l’irrigation à une répartition différente des cultures.</w:t>
      </w:r>
    </w:p>
    <w:p w14:paraId="2458914E" w14:textId="77777777" w:rsidR="00606865" w:rsidRDefault="00DA1A20">
      <w:pPr>
        <w:pStyle w:val="Paragraphedeliste"/>
        <w:numPr>
          <w:ilvl w:val="0"/>
          <w:numId w:val="2"/>
        </w:numPr>
        <w:jc w:val="both"/>
      </w:pPr>
      <w:hyperlink r:id="rId15" w:anchor="ext-main" w:history="1">
        <w:r>
          <w:rPr>
            <w:rStyle w:val="LienInternet"/>
            <w:rFonts w:ascii="Times New Roman" w:hAnsi="Times New Roman" w:cs="Times New Roman"/>
          </w:rPr>
          <w:t>Aqua 2030</w:t>
        </w:r>
      </w:hyperlink>
      <w:r>
        <w:rPr>
          <w:rFonts w:ascii="Times New Roman" w:hAnsi="Times New Roman" w:cs="Times New Roman"/>
        </w:rPr>
        <w:t xml:space="preserve"> s’est intéres</w:t>
      </w:r>
      <w:r>
        <w:rPr>
          <w:rFonts w:ascii="Times New Roman" w:hAnsi="Times New Roman" w:cs="Times New Roman"/>
        </w:rPr>
        <w:t>sé aux impacts territoriaux du changement climatique en métropole, en décrivant cinq scénarios pour l’horizon 2030 plus ou moins catastrophiques, plus ou moins maîtrisés, plus ou moins solidaires.</w:t>
      </w:r>
    </w:p>
    <w:p w14:paraId="74CB106F" w14:textId="77777777" w:rsidR="00606865" w:rsidRDefault="00DA1A20">
      <w:pPr>
        <w:jc w:val="both"/>
      </w:pPr>
      <w:r>
        <w:rPr>
          <w:rFonts w:ascii="Times New Roman" w:hAnsi="Times New Roman" w:cs="Times New Roman"/>
          <w:color w:val="222222"/>
          <w:shd w:val="clear" w:color="auto" w:fill="FFFFFF"/>
        </w:rPr>
        <w:t xml:space="preserve">Les enjeux pour la France ont une double nature : la </w:t>
      </w:r>
      <w:r>
        <w:rPr>
          <w:rFonts w:ascii="Times New Roman" w:hAnsi="Times New Roman" w:cs="Times New Roman"/>
          <w:color w:val="222222"/>
          <w:shd w:val="clear" w:color="auto" w:fill="FFFFFF"/>
        </w:rPr>
        <w:t>répartition de l’eau dans l’espace et dans le temps ainsi que l’occupation des sols. C’est un problème de gestion collective ; d</w:t>
      </w:r>
      <w:r>
        <w:rPr>
          <w:rFonts w:ascii="Times New Roman" w:hAnsi="Times New Roman" w:cs="Times New Roman"/>
        </w:rPr>
        <w:t xml:space="preserve">ans les débats sur la transition écologique, la gouvernance de l’eau se caractérise par le concept des </w:t>
      </w:r>
      <w:hyperlink r:id="rId16">
        <w:r>
          <w:rPr>
            <w:rStyle w:val="LienInternet"/>
            <w:rFonts w:ascii="Times New Roman" w:hAnsi="Times New Roman" w:cs="Times New Roman"/>
          </w:rPr>
          <w:t>communs</w:t>
        </w:r>
      </w:hyperlink>
      <w:r>
        <w:rPr>
          <w:rFonts w:ascii="Times New Roman" w:hAnsi="Times New Roman" w:cs="Times New Roman"/>
        </w:rPr>
        <w:t xml:space="preserve"> étudié par </w:t>
      </w:r>
      <w:hyperlink r:id="rId17">
        <w:proofErr w:type="spellStart"/>
        <w:r>
          <w:rPr>
            <w:rStyle w:val="LienInternet"/>
            <w:rFonts w:ascii="Times New Roman" w:hAnsi="Times New Roman" w:cs="Times New Roman"/>
          </w:rPr>
          <w:t>Elinor</w:t>
        </w:r>
        <w:proofErr w:type="spellEnd"/>
        <w:r>
          <w:rPr>
            <w:rStyle w:val="LienInternet"/>
            <w:rFonts w:ascii="Times New Roman" w:hAnsi="Times New Roman" w:cs="Times New Roman"/>
          </w:rPr>
          <w:t xml:space="preserve"> </w:t>
        </w:r>
        <w:proofErr w:type="spellStart"/>
        <w:r>
          <w:rPr>
            <w:rStyle w:val="LienInternet"/>
            <w:rFonts w:ascii="Times New Roman" w:hAnsi="Times New Roman" w:cs="Times New Roman"/>
          </w:rPr>
          <w:t>Ostrom</w:t>
        </w:r>
        <w:proofErr w:type="spellEnd"/>
      </w:hyperlink>
      <w:r>
        <w:rPr>
          <w:rFonts w:ascii="Times New Roman" w:hAnsi="Times New Roman" w:cs="Times New Roman"/>
        </w:rPr>
        <w:t xml:space="preserve">, « prix Nobel » d’économie  (2009). </w:t>
      </w:r>
      <w:r>
        <w:rPr>
          <w:rFonts w:ascii="Times New Roman" w:hAnsi="Times New Roman" w:cs="Times New Roman"/>
          <w:color w:val="222222"/>
          <w:shd w:val="clear" w:color="auto" w:fill="FFFFFF"/>
        </w:rPr>
        <w:t>Ce concept comporte trois éléments : une ressource partagée (l’eau), un</w:t>
      </w:r>
      <w:r>
        <w:rPr>
          <w:rFonts w:ascii="Times New Roman" w:hAnsi="Times New Roman" w:cs="Times New Roman"/>
          <w:color w:val="222222"/>
          <w:shd w:val="clear" w:color="auto" w:fill="FFFFFF"/>
        </w:rPr>
        <w:t>e communauté (consommateurs et parties prenantes) et un système de règles de gestion (gouvernance).</w:t>
      </w:r>
    </w:p>
    <w:p w14:paraId="2D426DE2" w14:textId="77777777" w:rsidR="00606865" w:rsidRDefault="00606865">
      <w:pPr>
        <w:jc w:val="both"/>
        <w:rPr>
          <w:rFonts w:ascii="Times New Roman" w:hAnsi="Times New Roman" w:cs="Times New Roman"/>
          <w:b/>
          <w:bCs/>
          <w:color w:val="222222"/>
          <w:highlight w:val="white"/>
        </w:rPr>
      </w:pPr>
    </w:p>
    <w:p w14:paraId="687E3ECE" w14:textId="686C7071" w:rsidR="00606865" w:rsidRDefault="00606865">
      <w:pPr>
        <w:jc w:val="both"/>
        <w:rPr>
          <w:rFonts w:ascii="Times New Roman" w:hAnsi="Times New Roman" w:cs="Times New Roman"/>
          <w:b/>
          <w:bCs/>
          <w:color w:val="222222"/>
          <w:highlight w:val="white"/>
        </w:rPr>
      </w:pPr>
    </w:p>
    <w:p w14:paraId="23229E22" w14:textId="2F5F6CD5" w:rsidR="00DA1A20" w:rsidRDefault="00DA1A20">
      <w:pPr>
        <w:jc w:val="both"/>
        <w:rPr>
          <w:rFonts w:ascii="Times New Roman" w:hAnsi="Times New Roman" w:cs="Times New Roman"/>
          <w:b/>
          <w:bCs/>
          <w:color w:val="222222"/>
          <w:highlight w:val="white"/>
        </w:rPr>
      </w:pPr>
    </w:p>
    <w:p w14:paraId="4E3C5E85" w14:textId="77777777" w:rsidR="00606865" w:rsidRDefault="00DA1A20">
      <w:pPr>
        <w:jc w:val="both"/>
        <w:rPr>
          <w:rFonts w:ascii="Times New Roman" w:hAnsi="Times New Roman" w:cs="Times New Roman"/>
          <w:b/>
          <w:bCs/>
          <w:color w:val="222222"/>
          <w:highlight w:val="white"/>
        </w:rPr>
      </w:pPr>
      <w:r>
        <w:rPr>
          <w:rFonts w:ascii="Times New Roman" w:hAnsi="Times New Roman" w:cs="Times New Roman"/>
          <w:b/>
          <w:bCs/>
          <w:color w:val="222222"/>
          <w:shd w:val="clear" w:color="auto" w:fill="FFFFFF"/>
        </w:rPr>
        <w:lastRenderedPageBreak/>
        <w:t>La ressource</w:t>
      </w:r>
    </w:p>
    <w:p w14:paraId="7D02ED8D"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En France métropolitaine, la ressource représente 500 milliards de mètres cubes, dont 180 s’écoulent dans les rivières. De ceux-ci, 37 millia</w:t>
      </w:r>
      <w:r>
        <w:rPr>
          <w:rFonts w:ascii="Times New Roman" w:hAnsi="Times New Roman" w:cs="Times New Roman"/>
          <w:color w:val="222222"/>
          <w:shd w:val="clear" w:color="auto" w:fill="FFFFFF"/>
        </w:rPr>
        <w:t>rds, soit 20% sont prélevés. En 2016, les prélèvements agricoles représentaient en moyenne 3,2 milliards de mètres cubes (9%), comparés à l’eau potable : 5,4 milliards (15%). Cette moyenne annuelle occulte toutefois la variabilité saisonnière, notamment en</w:t>
      </w:r>
      <w:r>
        <w:rPr>
          <w:rFonts w:ascii="Times New Roman" w:hAnsi="Times New Roman" w:cs="Times New Roman"/>
          <w:color w:val="222222"/>
          <w:shd w:val="clear" w:color="auto" w:fill="FFFFFF"/>
        </w:rPr>
        <w:t xml:space="preserve"> période d’étiage.</w:t>
      </w:r>
    </w:p>
    <w:p w14:paraId="7460473C" w14:textId="77777777" w:rsidR="00606865" w:rsidRDefault="00DA1A20">
      <w:pPr>
        <w:jc w:val="center"/>
        <w:rPr>
          <w:rFonts w:ascii="Times New Roman" w:hAnsi="Times New Roman" w:cs="Times New Roman"/>
          <w:b/>
          <w:bCs/>
          <w:color w:val="222222"/>
          <w:highlight w:val="white"/>
        </w:rPr>
      </w:pPr>
      <w:r>
        <w:rPr>
          <w:rFonts w:ascii="Times New Roman" w:hAnsi="Times New Roman" w:cs="Times New Roman"/>
          <w:b/>
          <w:bCs/>
          <w:color w:val="222222"/>
          <w:shd w:val="clear" w:color="auto" w:fill="FFFFFF"/>
        </w:rPr>
        <w:t>Les districts hydrographiques français (en couleurs)</w:t>
      </w:r>
    </w:p>
    <w:p w14:paraId="2C99C34E" w14:textId="77777777" w:rsidR="00606865" w:rsidRDefault="00DA1A20">
      <w:pPr>
        <w:jc w:val="center"/>
        <w:rPr>
          <w:rFonts w:ascii="Times New Roman" w:hAnsi="Times New Roman" w:cs="Times New Roman"/>
          <w:b/>
          <w:bCs/>
          <w:color w:val="222222"/>
          <w:highlight w:val="white"/>
        </w:rPr>
      </w:pPr>
      <w:r>
        <w:rPr>
          <w:noProof/>
        </w:rPr>
        <w:drawing>
          <wp:inline distT="0" distB="0" distL="0" distR="0" wp14:anchorId="7CC8D511" wp14:editId="3FA2F5FF">
            <wp:extent cx="2406650" cy="2375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8"/>
                    <a:stretch>
                      <a:fillRect/>
                    </a:stretch>
                  </pic:blipFill>
                  <pic:spPr bwMode="auto">
                    <a:xfrm>
                      <a:off x="0" y="0"/>
                      <a:ext cx="2406650" cy="2375535"/>
                    </a:xfrm>
                    <a:prstGeom prst="rect">
                      <a:avLst/>
                    </a:prstGeom>
                  </pic:spPr>
                </pic:pic>
              </a:graphicData>
            </a:graphic>
          </wp:inline>
        </w:drawing>
      </w:r>
    </w:p>
    <w:p w14:paraId="21E66094" w14:textId="77777777" w:rsidR="00606865" w:rsidRDefault="00606865">
      <w:pPr>
        <w:jc w:val="both"/>
        <w:rPr>
          <w:rFonts w:ascii="Times New Roman" w:hAnsi="Times New Roman" w:cs="Times New Roman"/>
          <w:b/>
          <w:bCs/>
          <w:color w:val="222222"/>
        </w:rPr>
      </w:pPr>
    </w:p>
    <w:p w14:paraId="1E13CE0E" w14:textId="77777777" w:rsidR="00606865" w:rsidRDefault="00DA1A20">
      <w:pPr>
        <w:jc w:val="both"/>
        <w:rPr>
          <w:rFonts w:ascii="Times New Roman" w:hAnsi="Times New Roman" w:cs="Times New Roman"/>
          <w:color w:val="000000"/>
        </w:rPr>
      </w:pPr>
      <w:r>
        <w:rPr>
          <w:rFonts w:ascii="Times New Roman" w:hAnsi="Times New Roman" w:cs="Times New Roman"/>
          <w:color w:val="222222"/>
          <w:shd w:val="clear" w:color="auto" w:fill="FFFFFF"/>
        </w:rPr>
        <w:t>La fréquence grandissante des sécheresses fait craindre en particulier les risques sur l’agriculture et la balance commerciale française. L</w:t>
      </w:r>
      <w:r>
        <w:rPr>
          <w:rFonts w:ascii="Times New Roman" w:hAnsi="Times New Roman" w:cs="Times New Roman"/>
        </w:rPr>
        <w:t>’assèchement des sols au printemps et la d</w:t>
      </w:r>
      <w:r>
        <w:rPr>
          <w:rFonts w:ascii="Times New Roman" w:hAnsi="Times New Roman" w:cs="Times New Roman"/>
        </w:rPr>
        <w:t xml:space="preserve">iminution des précipitations estivales ont causé la diminution des débits d’étiage de 0 à -30% sur la période 1968-2008. On attend qu’ils continuent à baisser de façon généralisée sur la métropole (-20 à -60 %) à horizon 2070. </w:t>
      </w:r>
      <w:r>
        <w:rPr>
          <w:rFonts w:ascii="Times New Roman" w:hAnsi="Times New Roman" w:cs="Times New Roman"/>
          <w:color w:val="222222"/>
          <w:shd w:val="clear" w:color="auto" w:fill="FFFFFF"/>
        </w:rPr>
        <w:t>Selon le GIEC (Groupement int</w:t>
      </w:r>
      <w:r>
        <w:rPr>
          <w:rFonts w:ascii="Times New Roman" w:hAnsi="Times New Roman" w:cs="Times New Roman"/>
          <w:color w:val="222222"/>
          <w:shd w:val="clear" w:color="auto" w:fill="FFFFFF"/>
        </w:rPr>
        <w:t>ernational d’experts sur le Climat), le volume annuel des précipitations devrait peu changer et la France devrait demeurer un pays d’abondance hydrique, bénéficiant actuellement de 500 milliards de mètres cubes (500 kilomètres cubes !) de précipitations pa</w:t>
      </w:r>
      <w:r>
        <w:rPr>
          <w:rFonts w:ascii="Times New Roman" w:hAnsi="Times New Roman" w:cs="Times New Roman"/>
          <w:color w:val="222222"/>
          <w:shd w:val="clear" w:color="auto" w:fill="FFFFFF"/>
        </w:rPr>
        <w:t xml:space="preserve">r an. </w:t>
      </w:r>
      <w:r>
        <w:rPr>
          <w:rFonts w:ascii="Times New Roman" w:hAnsi="Times New Roman" w:cs="Times New Roman"/>
          <w:color w:val="000000"/>
        </w:rPr>
        <w:t>En revanche, le GIEC dit aussi que la distribution temporelle de ces pluies va changer, que les épisodes seront possiblement plus violents et moins gérables, que ce sera différent d'une région à l'autre et qu'on doit en particulier s'attendre à une b</w:t>
      </w:r>
      <w:r>
        <w:rPr>
          <w:rFonts w:ascii="Times New Roman" w:hAnsi="Times New Roman" w:cs="Times New Roman"/>
          <w:color w:val="000000"/>
        </w:rPr>
        <w:t xml:space="preserve">aisse dans le Sud-Ouest du pays. </w:t>
      </w:r>
    </w:p>
    <w:p w14:paraId="78D4C314" w14:textId="77777777" w:rsidR="00606865" w:rsidRDefault="00DA1A20">
      <w:pPr>
        <w:jc w:val="both"/>
        <w:rPr>
          <w:rFonts w:ascii="Times New Roman" w:hAnsi="Times New Roman" w:cs="Times New Roman"/>
        </w:rPr>
      </w:pPr>
      <w:r>
        <w:rPr>
          <w:rFonts w:ascii="Times New Roman" w:hAnsi="Times New Roman" w:cs="Times New Roman"/>
          <w:bCs/>
          <w:color w:val="222222"/>
        </w:rPr>
        <w:t>C</w:t>
      </w:r>
      <w:r>
        <w:rPr>
          <w:rFonts w:ascii="Times New Roman" w:hAnsi="Times New Roman" w:cs="Times New Roman"/>
        </w:rPr>
        <w:t>ompte tenu de la diversité des conditions hydrogéologiques à l’échelle d’un pays, faire l’état des lieux des ressources hydriques et de leurs projections à l’échelle nationale présente un intérêt dans le cadre de comparai</w:t>
      </w:r>
      <w:r>
        <w:rPr>
          <w:rFonts w:ascii="Times New Roman" w:hAnsi="Times New Roman" w:cs="Times New Roman"/>
        </w:rPr>
        <w:t>sons internationales. Mais, pour une analyse spatio-temporelle pertinente des conflits d’usage, l’échelon local doit être privilégié à l’instar de l’exercice Aqua 2030 pour analyser la situation et proposer des solutions de gestion comme de gouvernance.</w:t>
      </w:r>
    </w:p>
    <w:p w14:paraId="154CC7DC" w14:textId="17F933D7" w:rsidR="00606865" w:rsidRDefault="00DA1A20">
      <w:pPr>
        <w:jc w:val="both"/>
      </w:pPr>
      <w:r>
        <w:rPr>
          <w:rFonts w:ascii="Times New Roman" w:hAnsi="Times New Roman" w:cs="Times New Roman"/>
          <w:color w:val="222222"/>
          <w:highlight w:val="white"/>
        </w:rPr>
        <w:t xml:space="preserve">C’est ce que permettraient les </w:t>
      </w:r>
      <w:r>
        <w:rPr>
          <w:rFonts w:ascii="Times New Roman" w:hAnsi="Times New Roman"/>
        </w:rPr>
        <w:t>« </w:t>
      </w:r>
      <w:hyperlink r:id="rId19">
        <w:r>
          <w:rPr>
            <w:rStyle w:val="LienInternet"/>
            <w:rFonts w:ascii="Times New Roman" w:hAnsi="Times New Roman"/>
          </w:rPr>
          <w:t>Solutions fondées sur la Nature</w:t>
        </w:r>
      </w:hyperlink>
      <w:r>
        <w:rPr>
          <w:rFonts w:ascii="Times New Roman" w:hAnsi="Times New Roman"/>
        </w:rPr>
        <w:t xml:space="preserve"> ». Impulsées par l’Union Internationale pour la Conservation de la Nature (UICN), Ces </w:t>
      </w:r>
      <w:r>
        <w:rPr>
          <w:rFonts w:ascii="Times New Roman" w:hAnsi="Times New Roman" w:cs="Times New Roman"/>
          <w:color w:val="222222"/>
          <w:highlight w:val="white"/>
        </w:rPr>
        <w:t xml:space="preserve">Solutions </w:t>
      </w:r>
      <w:r>
        <w:rPr>
          <w:rFonts w:ascii="Times New Roman" w:hAnsi="Times New Roman"/>
        </w:rPr>
        <w:t>v</w:t>
      </w:r>
      <w:r>
        <w:rPr>
          <w:rFonts w:ascii="Times New Roman" w:hAnsi="Times New Roman"/>
        </w:rPr>
        <w:t xml:space="preserve">isent à protéger, gérer de manière durable et restaurer des écosystèmes pour relever directement les défis sociétaux de manière efficace et adaptative, tout en assurant le bien-être humain et en favorisant la biodiversité. </w:t>
      </w:r>
      <w:r>
        <w:rPr>
          <w:rFonts w:ascii="Times New Roman" w:hAnsi="Times New Roman"/>
        </w:rPr>
        <w:t>En agriculture, elles s’apparente</w:t>
      </w:r>
      <w:r>
        <w:rPr>
          <w:rFonts w:ascii="Times New Roman" w:hAnsi="Times New Roman"/>
        </w:rPr>
        <w:t xml:space="preserve">nt au modèle </w:t>
      </w:r>
      <w:proofErr w:type="spellStart"/>
      <w:r>
        <w:rPr>
          <w:rFonts w:ascii="Times New Roman" w:hAnsi="Times New Roman"/>
        </w:rPr>
        <w:t>agro-écologique</w:t>
      </w:r>
      <w:proofErr w:type="spellEnd"/>
      <w:r>
        <w:rPr>
          <w:rFonts w:ascii="Times New Roman" w:hAnsi="Times New Roman"/>
        </w:rPr>
        <w:t xml:space="preserve"> préconisé en principe par la France. En 2015, à l’occasion de la COP 21 (Accord de Paris sur le climat), puis en 2016 à l’occasion du Congrès Mondial de la Nature, la place des Solutions fondées sur la Nature dans l’atteinte de</w:t>
      </w:r>
      <w:r>
        <w:rPr>
          <w:rFonts w:ascii="Times New Roman" w:hAnsi="Times New Roman"/>
        </w:rPr>
        <w:t xml:space="preserve">s Objectifs du développement durable, et notamment dans l’action climatique, a été reconnue. </w:t>
      </w:r>
    </w:p>
    <w:p w14:paraId="07894C79" w14:textId="77777777" w:rsidR="00DA1A20" w:rsidRDefault="00DA1A20">
      <w:pPr>
        <w:jc w:val="both"/>
        <w:rPr>
          <w:rFonts w:ascii="Times New Roman" w:hAnsi="Times New Roman"/>
        </w:rPr>
      </w:pPr>
    </w:p>
    <w:p w14:paraId="06E86934" w14:textId="77777777" w:rsidR="00DA1A20" w:rsidRDefault="00DA1A20">
      <w:pPr>
        <w:jc w:val="both"/>
        <w:rPr>
          <w:rFonts w:ascii="Times New Roman" w:hAnsi="Times New Roman"/>
        </w:rPr>
      </w:pPr>
    </w:p>
    <w:p w14:paraId="3D9C047C" w14:textId="33465F37" w:rsidR="00606865" w:rsidRDefault="00DA1A20">
      <w:pPr>
        <w:jc w:val="both"/>
        <w:rPr>
          <w:rFonts w:ascii="Times New Roman" w:hAnsi="Times New Roman"/>
        </w:rPr>
      </w:pPr>
      <w:r>
        <w:rPr>
          <w:rFonts w:ascii="Times New Roman" w:hAnsi="Times New Roman"/>
        </w:rPr>
        <w:t>Susceptibles d’être combinées dans les territoires, les Solutions fondées sur la Nature se déclinent en trois types d’action :</w:t>
      </w:r>
      <w:r>
        <w:rPr>
          <w:rFonts w:ascii="Times New Roman" w:hAnsi="Times New Roman"/>
        </w:rPr>
        <w:t xml:space="preserve"> </w:t>
      </w:r>
    </w:p>
    <w:p w14:paraId="2564E06A" w14:textId="77777777" w:rsidR="00606865" w:rsidRDefault="00DA1A20">
      <w:pPr>
        <w:pStyle w:val="Paragraphedeliste"/>
        <w:numPr>
          <w:ilvl w:val="0"/>
          <w:numId w:val="3"/>
        </w:numPr>
        <w:jc w:val="both"/>
        <w:rPr>
          <w:rFonts w:ascii="Times New Roman" w:hAnsi="Times New Roman"/>
        </w:rPr>
      </w:pPr>
      <w:r>
        <w:rPr>
          <w:rFonts w:ascii="Times New Roman" w:hAnsi="Times New Roman"/>
        </w:rPr>
        <w:t>la préservation d’écosystèmes fonct</w:t>
      </w:r>
      <w:r>
        <w:rPr>
          <w:rFonts w:ascii="Times New Roman" w:hAnsi="Times New Roman"/>
        </w:rPr>
        <w:t>ionnels et en bon état écologique,</w:t>
      </w:r>
    </w:p>
    <w:p w14:paraId="2A021468" w14:textId="77777777" w:rsidR="00606865" w:rsidRDefault="00DA1A20">
      <w:pPr>
        <w:pStyle w:val="Paragraphedeliste"/>
        <w:numPr>
          <w:ilvl w:val="0"/>
          <w:numId w:val="3"/>
        </w:numPr>
        <w:jc w:val="both"/>
        <w:rPr>
          <w:rFonts w:ascii="Times New Roman" w:hAnsi="Times New Roman"/>
        </w:rPr>
      </w:pPr>
      <w:r>
        <w:rPr>
          <w:rFonts w:ascii="Times New Roman" w:hAnsi="Times New Roman"/>
        </w:rPr>
        <w:t>l’amélioration de la gestion d’</w:t>
      </w:r>
      <w:proofErr w:type="spellStart"/>
      <w:r>
        <w:rPr>
          <w:rFonts w:ascii="Times New Roman" w:hAnsi="Times New Roman"/>
        </w:rPr>
        <w:t>écosytèmes</w:t>
      </w:r>
      <w:proofErr w:type="spellEnd"/>
      <w:r>
        <w:rPr>
          <w:rFonts w:ascii="Times New Roman" w:hAnsi="Times New Roman"/>
        </w:rPr>
        <w:t xml:space="preserve"> pour une utilisation durable par les activités humaines,</w:t>
      </w:r>
    </w:p>
    <w:p w14:paraId="2CD5A1B7" w14:textId="77777777" w:rsidR="00606865" w:rsidRDefault="00DA1A20">
      <w:pPr>
        <w:pStyle w:val="Paragraphedeliste"/>
        <w:numPr>
          <w:ilvl w:val="0"/>
          <w:numId w:val="3"/>
        </w:numPr>
        <w:jc w:val="both"/>
        <w:rPr>
          <w:rFonts w:ascii="Times New Roman" w:hAnsi="Times New Roman"/>
        </w:rPr>
      </w:pPr>
      <w:r>
        <w:rPr>
          <w:rFonts w:ascii="Times New Roman" w:hAnsi="Times New Roman"/>
        </w:rPr>
        <w:t>la restauration d’écosystèmes dégradés ou la création d’</w:t>
      </w:r>
      <w:proofErr w:type="spellStart"/>
      <w:r>
        <w:rPr>
          <w:rFonts w:ascii="Times New Roman" w:hAnsi="Times New Roman"/>
        </w:rPr>
        <w:t>écosytèmes</w:t>
      </w:r>
      <w:proofErr w:type="spellEnd"/>
      <w:r>
        <w:rPr>
          <w:rFonts w:ascii="Times New Roman" w:hAnsi="Times New Roman"/>
        </w:rPr>
        <w:t>.</w:t>
      </w:r>
    </w:p>
    <w:p w14:paraId="1AA9AB58" w14:textId="77777777" w:rsidR="00606865" w:rsidRDefault="00606865">
      <w:pPr>
        <w:jc w:val="both"/>
        <w:rPr>
          <w:rFonts w:ascii="Times New Roman" w:hAnsi="Times New Roman" w:cs="Times New Roman"/>
          <w:color w:val="222222"/>
          <w:highlight w:val="white"/>
        </w:rPr>
      </w:pPr>
    </w:p>
    <w:p w14:paraId="7A1F1BD8" w14:textId="77777777" w:rsidR="00606865" w:rsidRDefault="00DA1A20">
      <w:pPr>
        <w:jc w:val="both"/>
        <w:rPr>
          <w:rFonts w:ascii="Times New Roman" w:hAnsi="Times New Roman" w:cs="Times New Roman"/>
          <w:b/>
          <w:bCs/>
          <w:color w:val="222222"/>
          <w:highlight w:val="white"/>
        </w:rPr>
      </w:pPr>
      <w:r>
        <w:rPr>
          <w:rFonts w:ascii="Times New Roman" w:hAnsi="Times New Roman" w:cs="Times New Roman"/>
          <w:b/>
          <w:bCs/>
          <w:color w:val="222222"/>
          <w:shd w:val="clear" w:color="auto" w:fill="FFFFFF"/>
        </w:rPr>
        <w:t>La gouvernance</w:t>
      </w:r>
    </w:p>
    <w:p w14:paraId="167C153F" w14:textId="77777777" w:rsidR="00606865" w:rsidRDefault="00DA1A20">
      <w:pPr>
        <w:jc w:val="both"/>
        <w:rPr>
          <w:rFonts w:ascii="Times New Roman" w:eastAsia="Times New Roman" w:hAnsi="Times New Roman" w:cs="Times New Roman"/>
          <w:color w:val="222222"/>
          <w:lang w:eastAsia="fr-FR"/>
        </w:rPr>
      </w:pPr>
      <w:r>
        <w:rPr>
          <w:rFonts w:ascii="Times New Roman" w:eastAsia="Times New Roman" w:hAnsi="Times New Roman" w:cs="Times New Roman"/>
          <w:color w:val="222222"/>
          <w:lang w:eastAsia="fr-FR"/>
        </w:rPr>
        <w:t>En France, la gouvernance est régie par la loi sur l’eau du 3 janvier 1992 (repris dans la loi de 2006) dont les grands principes sont mis en œuvre par les schémas directeurs d’aménagement et de gestion des eaux (SDAGE). En métropole, six agences de l’eau,</w:t>
      </w:r>
      <w:r>
        <w:rPr>
          <w:rFonts w:ascii="Times New Roman" w:eastAsia="Times New Roman" w:hAnsi="Times New Roman" w:cs="Times New Roman"/>
          <w:color w:val="222222"/>
          <w:lang w:eastAsia="fr-FR"/>
        </w:rPr>
        <w:t xml:space="preserve"> anciennement appelées agences de bassin et correspondant aux districts ci-dessus, ont été créées par la loi sur l’eau de 1964, précisée par celle de 1992. Une agence de l’eau est un établissement public administratif de l’Etat doté de la personnalité civi</w:t>
      </w:r>
      <w:r>
        <w:rPr>
          <w:rFonts w:ascii="Times New Roman" w:eastAsia="Times New Roman" w:hAnsi="Times New Roman" w:cs="Times New Roman"/>
          <w:color w:val="222222"/>
          <w:lang w:eastAsia="fr-FR"/>
        </w:rPr>
        <w:t xml:space="preserve">le et de l’autonomie financière sous double tutelle du ministère chargé de l’environnement et de celui chargé des finances. </w:t>
      </w:r>
    </w:p>
    <w:p w14:paraId="3147DB65" w14:textId="77777777" w:rsidR="00606865" w:rsidRDefault="00DA1A20">
      <w:pPr>
        <w:jc w:val="both"/>
        <w:rPr>
          <w:rFonts w:ascii="Times New Roman" w:hAnsi="Times New Roman" w:cs="Times New Roman"/>
          <w:color w:val="222222"/>
          <w:highlight w:val="white"/>
        </w:rPr>
      </w:pPr>
      <w:r>
        <w:rPr>
          <w:rFonts w:ascii="Times New Roman" w:eastAsia="Times New Roman" w:hAnsi="Times New Roman" w:cs="Times New Roman"/>
          <w:color w:val="222222"/>
          <w:lang w:eastAsia="fr-FR"/>
        </w:rPr>
        <w:t xml:space="preserve">Les comités de bassin, souvent considérés comme les « parlements de l’eau », initialement des comités consultatifs, ont reçu, avec </w:t>
      </w:r>
      <w:r>
        <w:rPr>
          <w:rFonts w:ascii="Times New Roman" w:eastAsia="Times New Roman" w:hAnsi="Times New Roman" w:cs="Times New Roman"/>
          <w:color w:val="222222"/>
          <w:lang w:eastAsia="fr-FR"/>
        </w:rPr>
        <w:t>la loi de 1992, la charge d’élaborer les SDAGE. Ces comités sont constitués à 40% de représentants des collectivités territoriales, à 40% de représentants des usagers (non-professionnels, professionnels agricoles et du tourisme, professionnels de l’industr</w:t>
      </w:r>
      <w:r>
        <w:rPr>
          <w:rFonts w:ascii="Times New Roman" w:eastAsia="Times New Roman" w:hAnsi="Times New Roman" w:cs="Times New Roman"/>
          <w:color w:val="222222"/>
          <w:lang w:eastAsia="fr-FR"/>
        </w:rPr>
        <w:t>ie et de l’artisanat) et à 20% de représentants de l’Administration.  A l’échelle locale, les préfets décident de la création de Commissions locales de l’eau (CLE) en charge de l’élaboration de schémas d’aménagement et de gestion de l’eau (SAGE) de sous-ba</w:t>
      </w:r>
      <w:r>
        <w:rPr>
          <w:rFonts w:ascii="Times New Roman" w:eastAsia="Times New Roman" w:hAnsi="Times New Roman" w:cs="Times New Roman"/>
          <w:color w:val="222222"/>
          <w:lang w:eastAsia="fr-FR"/>
        </w:rPr>
        <w:t xml:space="preserve">ssins. La législation française a inspiré la directive-cadre européenne sur l’eau (DCE) et a évolué, à son tour, sous l’effet de celle-ci. </w:t>
      </w:r>
      <w:r>
        <w:rPr>
          <w:rFonts w:ascii="Times New Roman" w:hAnsi="Times New Roman" w:cs="Times New Roman"/>
          <w:color w:val="222222"/>
          <w:shd w:val="clear" w:color="auto" w:fill="FFFFFF"/>
        </w:rPr>
        <w:t>Les conseils d’administration des agences, qui réunissent les trois collèges des comités de bassin (usagers, collecti</w:t>
      </w:r>
      <w:r>
        <w:rPr>
          <w:rFonts w:ascii="Times New Roman" w:hAnsi="Times New Roman" w:cs="Times New Roman"/>
          <w:color w:val="222222"/>
          <w:shd w:val="clear" w:color="auto" w:fill="FFFFFF"/>
        </w:rPr>
        <w:t xml:space="preserve">vités et Administration), décident du budget. </w:t>
      </w:r>
    </w:p>
    <w:p w14:paraId="2CB86C70"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Du point de vue de la fiscalité environnementale, les agences de l’eau sont des institutions significatives. L’arrêté du 13 mars 2019 encadrant le montant pluriannuel des dépenses du 11e programme d'interventi</w:t>
      </w:r>
      <w:r>
        <w:rPr>
          <w:rFonts w:ascii="Times New Roman" w:hAnsi="Times New Roman" w:cs="Times New Roman"/>
          <w:color w:val="222222"/>
          <w:shd w:val="clear" w:color="auto" w:fill="FFFFFF"/>
        </w:rPr>
        <w:t>on des agences de l'eau faisait état d’un engagement de dépenses maximal de 12,5 milliards € pour la période 2019-2024, soit 2,4 milliards € par an. Le budget de l’ensemble des agences et des institutions correspondantes dans les départements d’outre-mer r</w:t>
      </w:r>
      <w:r>
        <w:rPr>
          <w:rFonts w:ascii="Times New Roman" w:hAnsi="Times New Roman" w:cs="Times New Roman"/>
          <w:color w:val="222222"/>
          <w:shd w:val="clear" w:color="auto" w:fill="FFFFFF"/>
        </w:rPr>
        <w:t>eprésente une fraction essentielle du budget national consacré à l’écologie. (Notons que le budget des Agences de l’Eau finance également les infrastructures urbaines qui contribuent à la santé publique davantage qu’à la protection des écosystèmes naturels</w:t>
      </w:r>
      <w:r>
        <w:rPr>
          <w:rFonts w:ascii="Times New Roman" w:hAnsi="Times New Roman" w:cs="Times New Roman"/>
          <w:color w:val="222222"/>
          <w:shd w:val="clear" w:color="auto" w:fill="FFFFFF"/>
        </w:rPr>
        <w:t>). Ainsi, le budget 2020 de l’Agence Seine-Normandie s’élève à près de 700 millions d’euros. Au demeurant, les agences de l’eau concourent au financement de politiques du Ministère de la transition écologique et solidaire (MTES) au-delà de la stricte gesti</w:t>
      </w:r>
      <w:r>
        <w:rPr>
          <w:rFonts w:ascii="Times New Roman" w:hAnsi="Times New Roman" w:cs="Times New Roman"/>
          <w:color w:val="222222"/>
          <w:shd w:val="clear" w:color="auto" w:fill="FFFFFF"/>
        </w:rPr>
        <w:t>on des eaux : au 1er janvier 2020, l'AFB et l’ONCF ont été fusionnés en un Office français de la biodiversité, doté d’un budget de près de 433 millions d'euros en dépenses, dont près de 66,5 millions au titre de la contribution aux parcs nationaux. Ce budg</w:t>
      </w:r>
      <w:r>
        <w:rPr>
          <w:rFonts w:ascii="Times New Roman" w:hAnsi="Times New Roman" w:cs="Times New Roman"/>
          <w:color w:val="222222"/>
          <w:shd w:val="clear" w:color="auto" w:fill="FFFFFF"/>
        </w:rPr>
        <w:t>et sera principalement alimenté par les Agences de l’Eau à hauteur de 332 millions d'euros.</w:t>
      </w:r>
    </w:p>
    <w:p w14:paraId="7F72D220" w14:textId="77777777" w:rsidR="00DA1A20" w:rsidRDefault="00DA1A20">
      <w:pPr>
        <w:jc w:val="both"/>
        <w:rPr>
          <w:rFonts w:ascii="Times New Roman" w:hAnsi="Times New Roman" w:cs="Times New Roman"/>
          <w:color w:val="222222"/>
          <w:shd w:val="clear" w:color="auto" w:fill="FFFFFF"/>
        </w:rPr>
      </w:pPr>
    </w:p>
    <w:p w14:paraId="18833CF0" w14:textId="77777777" w:rsidR="00DA1A20" w:rsidRDefault="00DA1A20">
      <w:pPr>
        <w:jc w:val="both"/>
        <w:rPr>
          <w:rFonts w:ascii="Times New Roman" w:hAnsi="Times New Roman" w:cs="Times New Roman"/>
          <w:color w:val="222222"/>
          <w:shd w:val="clear" w:color="auto" w:fill="FFFFFF"/>
        </w:rPr>
      </w:pPr>
    </w:p>
    <w:p w14:paraId="1E180A65" w14:textId="77777777" w:rsidR="00DA1A20" w:rsidRDefault="00DA1A20">
      <w:pPr>
        <w:jc w:val="both"/>
        <w:rPr>
          <w:rFonts w:ascii="Times New Roman" w:hAnsi="Times New Roman" w:cs="Times New Roman"/>
          <w:color w:val="222222"/>
          <w:shd w:val="clear" w:color="auto" w:fill="FFFFFF"/>
        </w:rPr>
      </w:pPr>
    </w:p>
    <w:p w14:paraId="6D6C4D53" w14:textId="77777777" w:rsidR="00DA1A20" w:rsidRDefault="00DA1A20">
      <w:pPr>
        <w:jc w:val="both"/>
        <w:rPr>
          <w:rFonts w:ascii="Times New Roman" w:hAnsi="Times New Roman" w:cs="Times New Roman"/>
          <w:color w:val="222222"/>
          <w:shd w:val="clear" w:color="auto" w:fill="FFFFFF"/>
        </w:rPr>
      </w:pPr>
    </w:p>
    <w:p w14:paraId="0853026B" w14:textId="77777777" w:rsidR="00DA1A20" w:rsidRDefault="00DA1A20">
      <w:pPr>
        <w:jc w:val="both"/>
        <w:rPr>
          <w:rFonts w:ascii="Times New Roman" w:hAnsi="Times New Roman" w:cs="Times New Roman"/>
          <w:color w:val="222222"/>
          <w:shd w:val="clear" w:color="auto" w:fill="FFFFFF"/>
        </w:rPr>
      </w:pPr>
    </w:p>
    <w:p w14:paraId="3A24C7C0" w14:textId="6EDF51D3"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Les Agences de l’Eau perçoivent les redevances (de prélèvement et de pollution)</w:t>
      </w:r>
      <w:r>
        <w:rPr>
          <w:rFonts w:ascii="Times New Roman" w:hAnsi="Times New Roman" w:cs="Times New Roman"/>
          <w:color w:val="000000"/>
          <w:shd w:val="clear" w:color="auto" w:fill="FFFFFF"/>
        </w:rPr>
        <w:t xml:space="preserve">, acquittées pour les différents usages de l’eau </w:t>
      </w:r>
      <w:r>
        <w:rPr>
          <w:rFonts w:ascii="Times New Roman" w:hAnsi="Times New Roman" w:cs="Times New Roman"/>
          <w:color w:val="222222"/>
          <w:shd w:val="clear" w:color="auto" w:fill="FFFFFF"/>
        </w:rPr>
        <w:t xml:space="preserve">selon les principes « l’eau paie </w:t>
      </w:r>
      <w:r>
        <w:rPr>
          <w:rFonts w:ascii="Times New Roman" w:hAnsi="Times New Roman" w:cs="Times New Roman"/>
          <w:color w:val="222222"/>
          <w:shd w:val="clear" w:color="auto" w:fill="FFFFFF"/>
        </w:rPr>
        <w:t>l’eau » (le secteur de l’eau doit s’auto-financer) et « pollueur payeur » (les pollueurs sont responsables)</w:t>
      </w:r>
      <w:r>
        <w:rPr>
          <w:rFonts w:ascii="Times New Roman" w:hAnsi="Times New Roman" w:cs="Times New Roman"/>
          <w:color w:val="000000"/>
          <w:shd w:val="clear" w:color="auto" w:fill="FFFFFF"/>
        </w:rPr>
        <w:t>. Ces recettes proviennent à 83 % de la redevance portant sur la pollution et la collecte des eaux usées et à 17 % de celle portant sur les prélèveme</w:t>
      </w:r>
      <w:r>
        <w:rPr>
          <w:rFonts w:ascii="Times New Roman" w:hAnsi="Times New Roman" w:cs="Times New Roman"/>
          <w:color w:val="000000"/>
          <w:shd w:val="clear" w:color="auto" w:fill="FFFFFF"/>
        </w:rPr>
        <w:t>nts en eau dans le milieu naturel. Ces proportions sont relativement stables. Les redevances sont acquittées à 88 % par les ménages, 8 % par les industriels et 4 % par les agriculteurs. Dans chaque bassin, ces recettes permettent la mise en œuvre des polit</w:t>
      </w:r>
      <w:r>
        <w:rPr>
          <w:rFonts w:ascii="Times New Roman" w:hAnsi="Times New Roman" w:cs="Times New Roman"/>
          <w:color w:val="000000"/>
          <w:shd w:val="clear" w:color="auto" w:fill="FFFFFF"/>
        </w:rPr>
        <w:t>iques de l’eau favorisant la gestion équilibrée des ressources et des milieux aquatiques, l’alimentation en eau potable, la régulation des crues et le développement durable des activités économiques.</w:t>
      </w:r>
    </w:p>
    <w:p w14:paraId="300FDA08"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A titre d’exemple, le budget de l’Agence Seine-Normandie</w:t>
      </w:r>
      <w:r>
        <w:rPr>
          <w:rFonts w:ascii="Times New Roman" w:hAnsi="Times New Roman" w:cs="Times New Roman"/>
          <w:color w:val="222222"/>
          <w:shd w:val="clear" w:color="auto" w:fill="FFFFFF"/>
        </w:rPr>
        <w:t xml:space="preserve"> consacre 77% de ses dépenses à ses interventions propres et 15% aux institutions comme l’Office français de la biodiversité (8%). Par ordre décroissant d’importance, les interventions de l’Agence Seine-Normandie concernent : l’assainissement (38%), l’alim</w:t>
      </w:r>
      <w:r>
        <w:rPr>
          <w:rFonts w:ascii="Times New Roman" w:hAnsi="Times New Roman" w:cs="Times New Roman"/>
          <w:color w:val="222222"/>
          <w:shd w:val="clear" w:color="auto" w:fill="FFFFFF"/>
        </w:rPr>
        <w:t>entation en eau potable (13%), la restauration des milieux (9%) et la gestion des eaux pluviales (6% ; il s’agit d’éviter l’imperméabilisation des surfaces, le ruissellement et la pollution qui peut s’ensuivre). Juste derrière vient le financement de servi</w:t>
      </w:r>
      <w:r>
        <w:rPr>
          <w:rFonts w:ascii="Times New Roman" w:hAnsi="Times New Roman" w:cs="Times New Roman"/>
          <w:color w:val="222222"/>
          <w:shd w:val="clear" w:color="auto" w:fill="FFFFFF"/>
        </w:rPr>
        <w:t xml:space="preserve">ces environnementaux dans le secteur agricole (5%) et les secteurs non-agricoles (5%). </w:t>
      </w:r>
    </w:p>
    <w:p w14:paraId="6B2C311B"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Dans un contexte où les pénuries sont de plus en plus perceptibles localement, le gouvernement a récemment encouragé, pour résoudre les tensions entre usagers, les Proj</w:t>
      </w:r>
      <w:r>
        <w:rPr>
          <w:rFonts w:ascii="Times New Roman" w:hAnsi="Times New Roman" w:cs="Times New Roman"/>
          <w:color w:val="222222"/>
          <w:shd w:val="clear" w:color="auto" w:fill="FFFFFF"/>
        </w:rPr>
        <w:t>ets de Territoire pour la Gestion de l’Eau (PTGE). Cette initiative en faveur d’une démarche localement concertée avec tous les usagers pour favoriser la résilience territoriale et mieux partager la ressource est une application typique du concept des comm</w:t>
      </w:r>
      <w:r>
        <w:rPr>
          <w:rFonts w:ascii="Times New Roman" w:hAnsi="Times New Roman" w:cs="Times New Roman"/>
          <w:color w:val="222222"/>
          <w:shd w:val="clear" w:color="auto" w:fill="FFFFFF"/>
        </w:rPr>
        <w:t>uns. Ces systèmes de gestion du bas Moyen Age utilisés pour l’irrigation de la plaine de Valence en Espagne ont perduré jusqu’à nos jours et peuvent être une source d’inspiration. Si l</w:t>
      </w:r>
      <w:r>
        <w:rPr>
          <w:rFonts w:ascii="Times New Roman" w:hAnsi="Times New Roman" w:cs="Times New Roman"/>
          <w:color w:val="000000"/>
        </w:rPr>
        <w:t>es PTGE sont le résultat d'une négociation porteuse de nombreuses attent</w:t>
      </w:r>
      <w:r>
        <w:rPr>
          <w:rFonts w:ascii="Times New Roman" w:hAnsi="Times New Roman" w:cs="Times New Roman"/>
          <w:color w:val="000000"/>
        </w:rPr>
        <w:t>es contradictoires et ont principalement été mis en œuvre dans le cadre de projets de retenue d’eau à des fins agricoles.</w:t>
      </w:r>
    </w:p>
    <w:p w14:paraId="1964CE99" w14:textId="77777777" w:rsidR="00606865" w:rsidRDefault="00DA1A20">
      <w:pPr>
        <w:jc w:val="both"/>
        <w:rPr>
          <w:rFonts w:ascii="Times New Roman" w:hAnsi="Times New Roman" w:cs="Times New Roman"/>
          <w:b/>
          <w:bCs/>
          <w:color w:val="222222"/>
          <w:highlight w:val="white"/>
        </w:rPr>
      </w:pPr>
      <w:r>
        <w:rPr>
          <w:rFonts w:ascii="Times New Roman" w:hAnsi="Times New Roman" w:cs="Times New Roman"/>
          <w:b/>
          <w:bCs/>
          <w:color w:val="222222"/>
          <w:shd w:val="clear" w:color="auto" w:fill="FFFFFF"/>
        </w:rPr>
        <w:t>Les Communautés</w:t>
      </w:r>
    </w:p>
    <w:p w14:paraId="4B568BBD" w14:textId="77777777" w:rsidR="00606865" w:rsidRDefault="00DA1A20">
      <w:p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Concernant la communauté des populations et des parties prenantes, les intérêts sont, comme on l’imagine, différents :</w:t>
      </w:r>
      <w:r>
        <w:rPr>
          <w:rFonts w:ascii="Times New Roman" w:hAnsi="Times New Roman" w:cs="Times New Roman"/>
          <w:color w:val="222222"/>
          <w:shd w:val="clear" w:color="auto" w:fill="FFFFFF"/>
        </w:rPr>
        <w:t xml:space="preserve"> le secteur énergétique est à la recherche de débits et de </w:t>
      </w:r>
      <w:r>
        <w:rPr>
          <w:rFonts w:ascii="Times New Roman" w:hAnsi="Times New Roman" w:cs="Times New Roman"/>
          <w:bCs/>
          <w:shd w:val="clear" w:color="auto" w:fill="FFFFFF"/>
        </w:rPr>
        <w:t>capacité de</w:t>
      </w:r>
      <w:r>
        <w:rPr>
          <w:rFonts w:ascii="Times New Roman" w:hAnsi="Times New Roman" w:cs="Times New Roman"/>
          <w:color w:val="222222"/>
          <w:shd w:val="clear" w:color="auto" w:fill="FFFFFF"/>
        </w:rPr>
        <w:t xml:space="preserve"> </w:t>
      </w:r>
      <w:r>
        <w:rPr>
          <w:rFonts w:ascii="Times New Roman" w:hAnsi="Times New Roman" w:cs="Times New Roman"/>
          <w:bCs/>
          <w:shd w:val="clear" w:color="auto" w:fill="FFFFFF"/>
        </w:rPr>
        <w:t>refroidissement</w:t>
      </w:r>
      <w:r>
        <w:rPr>
          <w:rFonts w:ascii="Times New Roman" w:hAnsi="Times New Roman" w:cs="Times New Roman"/>
          <w:color w:val="222222"/>
          <w:shd w:val="clear" w:color="auto" w:fill="FFFFFF"/>
        </w:rPr>
        <w:t>, les consommateurs veulent une eau potable, l’agriculture a des besoins saisonniers, enfin la puissance publique veille notamment au bon état des eaux résultant de l’act</w:t>
      </w:r>
      <w:r>
        <w:rPr>
          <w:rFonts w:ascii="Times New Roman" w:hAnsi="Times New Roman" w:cs="Times New Roman"/>
          <w:color w:val="222222"/>
          <w:shd w:val="clear" w:color="auto" w:fill="FFFFFF"/>
        </w:rPr>
        <w:t>ivité industrielle, de l’agriculture et des eaux usées rejetées par les consommateurs. Les statistiques montrent la répartition suivante de l’utilisation selon les secteurs (les prélèvements incluant l’eau restituée en plus de la consommation).</w:t>
      </w:r>
    </w:p>
    <w:p w14:paraId="523BA86D" w14:textId="77777777" w:rsidR="00606865" w:rsidRDefault="00DA1A20">
      <w:pPr>
        <w:ind w:left="1416"/>
        <w:rPr>
          <w:rFonts w:ascii="Times New Roman" w:hAnsi="Times New Roman" w:cs="Times New Roman"/>
          <w:b/>
          <w:bCs/>
          <w:color w:val="222222"/>
          <w:highlight w:val="white"/>
        </w:rPr>
      </w:pPr>
      <w:r>
        <w:rPr>
          <w:rFonts w:ascii="Times New Roman" w:hAnsi="Times New Roman" w:cs="Times New Roman"/>
          <w:b/>
          <w:bCs/>
          <w:color w:val="222222"/>
          <w:shd w:val="clear" w:color="auto" w:fill="FFFFFF"/>
        </w:rPr>
        <w:t>Utilisation</w:t>
      </w:r>
      <w:r>
        <w:rPr>
          <w:rFonts w:ascii="Times New Roman" w:hAnsi="Times New Roman" w:cs="Times New Roman"/>
          <w:b/>
          <w:bCs/>
          <w:color w:val="222222"/>
          <w:shd w:val="clear" w:color="auto" w:fill="FFFFFF"/>
        </w:rPr>
        <w:t xml:space="preserve"> de l’eau en France métropolitaine, par secteurs</w:t>
      </w:r>
    </w:p>
    <w:p w14:paraId="55B94479" w14:textId="77777777" w:rsidR="00606865" w:rsidRDefault="00DA1A20">
      <w:pPr>
        <w:ind w:left="1416"/>
        <w:rPr>
          <w:rFonts w:ascii="Times New Roman" w:hAnsi="Times New Roman" w:cs="Times New Roman"/>
          <w:color w:val="222222"/>
          <w:highlight w:val="white"/>
        </w:rPr>
      </w:pP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Prélèvements</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Consommation</w:t>
      </w:r>
    </w:p>
    <w:p w14:paraId="3F84BEDB" w14:textId="77777777" w:rsidR="00606865" w:rsidRDefault="00DA1A20">
      <w:pPr>
        <w:spacing w:after="0"/>
        <w:ind w:left="1416"/>
        <w:rPr>
          <w:rFonts w:ascii="Times New Roman" w:hAnsi="Times New Roman" w:cs="Times New Roman"/>
          <w:color w:val="222222"/>
          <w:highlight w:val="white"/>
        </w:rPr>
      </w:pPr>
      <w:r>
        <w:rPr>
          <w:rFonts w:ascii="Times New Roman" w:hAnsi="Times New Roman" w:cs="Times New Roman"/>
          <w:color w:val="222222"/>
          <w:shd w:val="clear" w:color="auto" w:fill="FFFFFF"/>
        </w:rPr>
        <w:t>Energie (nucléaire)</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xml:space="preserve">  64%</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xml:space="preserve">  22%</w:t>
      </w:r>
    </w:p>
    <w:p w14:paraId="629ABCC9" w14:textId="77777777" w:rsidR="00606865" w:rsidRDefault="00DA1A20">
      <w:pPr>
        <w:spacing w:after="0"/>
        <w:ind w:left="1416"/>
        <w:rPr>
          <w:rFonts w:ascii="Times New Roman" w:hAnsi="Times New Roman" w:cs="Times New Roman"/>
          <w:color w:val="222222"/>
          <w:highlight w:val="white"/>
        </w:rPr>
      </w:pPr>
      <w:r>
        <w:rPr>
          <w:rFonts w:ascii="Times New Roman" w:hAnsi="Times New Roman" w:cs="Times New Roman"/>
          <w:color w:val="222222"/>
          <w:shd w:val="clear" w:color="auto" w:fill="FFFFFF"/>
        </w:rPr>
        <w:t>Eau potable</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xml:space="preserve">  17%</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xml:space="preserve">  22%</w:t>
      </w:r>
    </w:p>
    <w:p w14:paraId="65495411" w14:textId="77777777" w:rsidR="00606865" w:rsidRDefault="00DA1A20">
      <w:pPr>
        <w:spacing w:after="0"/>
        <w:ind w:left="1416"/>
        <w:rPr>
          <w:rFonts w:ascii="Times New Roman" w:hAnsi="Times New Roman" w:cs="Times New Roman"/>
          <w:color w:val="222222"/>
          <w:highlight w:val="white"/>
        </w:rPr>
      </w:pPr>
      <w:r>
        <w:rPr>
          <w:rFonts w:ascii="Times New Roman" w:hAnsi="Times New Roman" w:cs="Times New Roman"/>
          <w:color w:val="222222"/>
          <w:shd w:val="clear" w:color="auto" w:fill="FFFFFF"/>
        </w:rPr>
        <w:t>Industrie</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xml:space="preserve">    9%</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 xml:space="preserve">    6%</w:t>
      </w:r>
    </w:p>
    <w:p w14:paraId="492B0357" w14:textId="77777777" w:rsidR="00606865" w:rsidRDefault="00DA1A20">
      <w:pPr>
        <w:spacing w:after="0"/>
        <w:ind w:left="1416"/>
        <w:rPr>
          <w:rFonts w:ascii="Times New Roman" w:hAnsi="Times New Roman" w:cs="Times New Roman"/>
          <w:color w:val="222222"/>
          <w:highlight w:val="white"/>
        </w:rPr>
      </w:pPr>
      <w:r>
        <w:rPr>
          <w:rFonts w:ascii="Times New Roman" w:hAnsi="Times New Roman" w:cs="Times New Roman"/>
          <w:color w:val="222222"/>
          <w:shd w:val="clear" w:color="auto" w:fill="FFFFFF"/>
        </w:rPr>
        <w:t>Irrigation agricole</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u w:val="single"/>
          <w:shd w:val="clear" w:color="auto" w:fill="FFFFFF"/>
        </w:rPr>
        <w:t xml:space="preserve">    9%</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u w:val="single"/>
          <w:shd w:val="clear" w:color="auto" w:fill="FFFFFF"/>
        </w:rPr>
        <w:t xml:space="preserve">  50%</w:t>
      </w:r>
    </w:p>
    <w:p w14:paraId="122C016A" w14:textId="77777777" w:rsidR="00606865" w:rsidRDefault="00DA1A20">
      <w:pPr>
        <w:spacing w:after="0"/>
        <w:ind w:left="1418"/>
        <w:rPr>
          <w:rFonts w:ascii="Times New Roman" w:hAnsi="Times New Roman" w:cs="Times New Roman"/>
          <w:color w:val="222222"/>
          <w:highlight w:val="white"/>
        </w:rPr>
      </w:pPr>
      <w:r>
        <w:rPr>
          <w:rFonts w:ascii="Times New Roman" w:hAnsi="Times New Roman" w:cs="Times New Roman"/>
          <w:color w:val="222222"/>
          <w:shd w:val="clear" w:color="auto" w:fill="FFFFFF"/>
        </w:rPr>
        <w:t xml:space="preserve">Total : </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100%</w:t>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t>100%</w:t>
      </w:r>
    </w:p>
    <w:p w14:paraId="3D3F0D0F" w14:textId="77777777" w:rsidR="00606865" w:rsidRDefault="00DA1A20">
      <w:pPr>
        <w:jc w:val="right"/>
        <w:rPr>
          <w:rFonts w:ascii="Times New Roman" w:hAnsi="Times New Roman" w:cs="Times New Roman"/>
          <w:color w:val="222222"/>
          <w:sz w:val="20"/>
          <w:szCs w:val="20"/>
          <w:highlight w:val="white"/>
        </w:rPr>
      </w:pPr>
      <w:r>
        <w:rPr>
          <w:rFonts w:ascii="Times New Roman" w:hAnsi="Times New Roman" w:cs="Times New Roman"/>
          <w:color w:val="222222"/>
          <w:sz w:val="20"/>
          <w:szCs w:val="20"/>
          <w:shd w:val="clear" w:color="auto" w:fill="FFFFFF"/>
        </w:rPr>
        <w:t>(source : Centre d’Inform</w:t>
      </w:r>
      <w:r>
        <w:rPr>
          <w:rFonts w:ascii="Times New Roman" w:hAnsi="Times New Roman" w:cs="Times New Roman"/>
          <w:color w:val="222222"/>
          <w:sz w:val="20"/>
          <w:szCs w:val="20"/>
          <w:shd w:val="clear" w:color="auto" w:fill="FFFFFF"/>
        </w:rPr>
        <w:t xml:space="preserve">ation sur l’Eau) </w:t>
      </w:r>
    </w:p>
    <w:p w14:paraId="36E4D237" w14:textId="77777777" w:rsidR="00606865" w:rsidRDefault="00DA1A20">
      <w:pPr>
        <w:jc w:val="both"/>
        <w:rPr>
          <w:rFonts w:ascii="Times New Roman" w:hAnsi="Times New Roman" w:cs="Times New Roman"/>
          <w:color w:val="212121"/>
          <w:spacing w:val="4"/>
          <w:highlight w:val="white"/>
        </w:rPr>
      </w:pPr>
      <w:r>
        <w:rPr>
          <w:rFonts w:ascii="Times New Roman" w:hAnsi="Times New Roman" w:cs="Times New Roman"/>
          <w:color w:val="222222"/>
          <w:shd w:val="clear" w:color="auto" w:fill="FFFFFF"/>
        </w:rPr>
        <w:t>Se posent également de plus en plus des problèmes d’approvisionnement en quantité ainsi que, comme on l’a dit, celui des répartitions spatiale et temporelle. Entre le Nord et le Sud de la France notamment, la différence des situations s’accroît sous l’effe</w:t>
      </w:r>
      <w:r>
        <w:rPr>
          <w:rFonts w:ascii="Times New Roman" w:hAnsi="Times New Roman" w:cs="Times New Roman"/>
          <w:color w:val="222222"/>
          <w:shd w:val="clear" w:color="auto" w:fill="FFFFFF"/>
        </w:rPr>
        <w:t xml:space="preserve">t du changement climatique. </w:t>
      </w:r>
      <w:r>
        <w:rPr>
          <w:rFonts w:ascii="Times New Roman" w:hAnsi="Times New Roman" w:cs="Times New Roman"/>
          <w:color w:val="212121"/>
          <w:spacing w:val="4"/>
          <w:shd w:val="clear" w:color="auto" w:fill="FFFFFF"/>
        </w:rPr>
        <w:t xml:space="preserve">Conséquence du réchauffement climatique, la France est également davantage confrontée à une recrudescence des crues et glissements de terrain. </w:t>
      </w:r>
    </w:p>
    <w:p w14:paraId="036152B0" w14:textId="77777777" w:rsidR="00606865" w:rsidRDefault="00DA1A20">
      <w:pPr>
        <w:pStyle w:val="Paragraphedeliste"/>
        <w:numPr>
          <w:ilvl w:val="0"/>
          <w:numId w:val="1"/>
        </w:numPr>
        <w:jc w:val="both"/>
        <w:rPr>
          <w:rFonts w:ascii="Times New Roman" w:hAnsi="Times New Roman" w:cs="Times New Roman"/>
          <w:color w:val="222222"/>
          <w:highlight w:val="white"/>
        </w:rPr>
      </w:pPr>
      <w:r>
        <w:rPr>
          <w:rFonts w:ascii="Times New Roman" w:hAnsi="Times New Roman" w:cs="Times New Roman"/>
          <w:color w:val="212121"/>
          <w:spacing w:val="4"/>
          <w:shd w:val="clear" w:color="auto" w:fill="FFFFFF"/>
        </w:rPr>
        <w:lastRenderedPageBreak/>
        <w:t>De nombreuses expérimentations qui s’inspirent ou partent de l’utilisation des écosy</w:t>
      </w:r>
      <w:r>
        <w:rPr>
          <w:rFonts w:ascii="Times New Roman" w:hAnsi="Times New Roman" w:cs="Times New Roman"/>
          <w:color w:val="212121"/>
          <w:spacing w:val="4"/>
          <w:shd w:val="clear" w:color="auto" w:fill="FFFFFF"/>
        </w:rPr>
        <w:t>stèmes développés prouvent désormais l’efficacité et la rentabilité des « infrastructures vertes ». Certaines villes comme la métropole du Grand Lyon ou celle de Bordeaux ont choisi de renforcer leur capacité de résilience face aux inondations et d’</w:t>
      </w:r>
      <w:r>
        <w:rPr>
          <w:rFonts w:ascii="Times New Roman" w:hAnsi="Times New Roman" w:cs="Times New Roman"/>
          <w:color w:val="212121"/>
          <w:spacing w:val="5"/>
          <w:shd w:val="clear" w:color="auto" w:fill="FFFFFF"/>
        </w:rPr>
        <w:t>augment</w:t>
      </w:r>
      <w:r>
        <w:rPr>
          <w:rFonts w:ascii="Times New Roman" w:hAnsi="Times New Roman" w:cs="Times New Roman"/>
          <w:color w:val="212121"/>
          <w:spacing w:val="5"/>
          <w:shd w:val="clear" w:color="auto" w:fill="FFFFFF"/>
        </w:rPr>
        <w:t>er l’approvisionnement de la population locale en eau par le recyclage des eaux retenues grâce à des Solutions fondées sur la Nature.</w:t>
      </w:r>
      <w:r>
        <w:rPr>
          <w:rFonts w:ascii="Times New Roman" w:hAnsi="Times New Roman" w:cs="Times New Roman"/>
          <w:color w:val="212121"/>
          <w:spacing w:val="4"/>
          <w:shd w:val="clear" w:color="auto" w:fill="FFFFFF"/>
        </w:rPr>
        <w:t xml:space="preserve"> </w:t>
      </w:r>
    </w:p>
    <w:p w14:paraId="47ADE116" w14:textId="77777777" w:rsidR="00606865" w:rsidRDefault="00DA1A20">
      <w:pPr>
        <w:pStyle w:val="Paragraphedeliste"/>
        <w:numPr>
          <w:ilvl w:val="0"/>
          <w:numId w:val="1"/>
        </w:numPr>
        <w:jc w:val="both"/>
        <w:rPr>
          <w:rFonts w:ascii="Times New Roman" w:hAnsi="Times New Roman" w:cs="Times New Roman"/>
          <w:color w:val="222222"/>
          <w:highlight w:val="white"/>
        </w:rPr>
      </w:pPr>
      <w:r>
        <w:rPr>
          <w:rFonts w:ascii="Times New Roman" w:hAnsi="Times New Roman" w:cs="Times New Roman"/>
          <w:color w:val="222222"/>
          <w:shd w:val="clear" w:color="auto" w:fill="FFFFFF"/>
        </w:rPr>
        <w:t xml:space="preserve">En France les surfaces irriguées représentent 5% de la surface agricole utile (SAU), contre 6% en moyenne en Europe, 13% </w:t>
      </w:r>
      <w:r>
        <w:rPr>
          <w:rFonts w:ascii="Times New Roman" w:hAnsi="Times New Roman" w:cs="Times New Roman"/>
          <w:color w:val="222222"/>
          <w:shd w:val="clear" w:color="auto" w:fill="FFFFFF"/>
        </w:rPr>
        <w:t>en Espagne et 14% en Italie. Les surfaces irriguées ont reculé de 18% entre 2000 et 2010 tandis qu’en vingt ans l’efficience de l’irrigation a augmenté de 30% (il s’agit de la quantité d’eau consommée pour produire une tonne de matière sèche).</w:t>
      </w:r>
    </w:p>
    <w:p w14:paraId="2986B8C2" w14:textId="77777777" w:rsidR="00606865" w:rsidRDefault="00606865">
      <w:pPr>
        <w:spacing w:after="0" w:line="240" w:lineRule="auto"/>
        <w:rPr>
          <w:rFonts w:ascii="Times New Roman" w:hAnsi="Times New Roman" w:cs="Times New Roman"/>
          <w:color w:val="222222"/>
          <w:highlight w:val="white"/>
        </w:rPr>
      </w:pPr>
    </w:p>
    <w:p w14:paraId="306AB10F" w14:textId="77777777" w:rsidR="00606865" w:rsidRDefault="00606865">
      <w:pPr>
        <w:jc w:val="center"/>
      </w:pPr>
    </w:p>
    <w:sectPr w:rsidR="00606865">
      <w:footerReference w:type="default" r:id="rId20"/>
      <w:pgSz w:w="11906" w:h="16838"/>
      <w:pgMar w:top="1417" w:right="1417" w:bottom="1417" w:left="1417" w:header="0" w:footer="708"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4B0C8" w14:textId="77777777" w:rsidR="00000000" w:rsidRDefault="00DA1A20">
      <w:pPr>
        <w:spacing w:after="0" w:line="240" w:lineRule="auto"/>
      </w:pPr>
      <w:r>
        <w:separator/>
      </w:r>
    </w:p>
  </w:endnote>
  <w:endnote w:type="continuationSeparator" w:id="0">
    <w:p w14:paraId="4142C3FB" w14:textId="77777777" w:rsidR="00000000" w:rsidRDefault="00DA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608583"/>
      <w:docPartObj>
        <w:docPartGallery w:val="Page Numbers (Bottom of Page)"/>
        <w:docPartUnique/>
      </w:docPartObj>
    </w:sdtPr>
    <w:sdtEndPr/>
    <w:sdtContent>
      <w:p w14:paraId="7B8C4F16" w14:textId="77777777" w:rsidR="00606865" w:rsidRDefault="00DA1A20">
        <w:pPr>
          <w:pStyle w:val="Pieddepage"/>
          <w:jc w:val="center"/>
        </w:pPr>
        <w:r>
          <w:fldChar w:fldCharType="begin"/>
        </w:r>
        <w:r>
          <w:instrText>PAGE</w:instrText>
        </w:r>
        <w:r>
          <w:fldChar w:fldCharType="separate"/>
        </w:r>
        <w:r>
          <w:t>7</w:t>
        </w:r>
        <w:r>
          <w:fldChar w:fldCharType="end"/>
        </w:r>
      </w:p>
    </w:sdtContent>
  </w:sdt>
  <w:p w14:paraId="50C2EFAF" w14:textId="77777777" w:rsidR="00606865" w:rsidRDefault="006068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4052F" w14:textId="77777777" w:rsidR="00000000" w:rsidRDefault="00DA1A20">
      <w:pPr>
        <w:spacing w:after="0" w:line="240" w:lineRule="auto"/>
      </w:pPr>
      <w:r>
        <w:separator/>
      </w:r>
    </w:p>
  </w:footnote>
  <w:footnote w:type="continuationSeparator" w:id="0">
    <w:p w14:paraId="68978198" w14:textId="77777777" w:rsidR="00000000" w:rsidRDefault="00DA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14AAC"/>
    <w:multiLevelType w:val="multilevel"/>
    <w:tmpl w:val="DC52E2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021C9C"/>
    <w:multiLevelType w:val="multilevel"/>
    <w:tmpl w:val="8962F0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353E2A"/>
    <w:multiLevelType w:val="multilevel"/>
    <w:tmpl w:val="13BE9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4E2626"/>
    <w:multiLevelType w:val="multilevel"/>
    <w:tmpl w:val="8CFC04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C0412AC"/>
    <w:multiLevelType w:val="multilevel"/>
    <w:tmpl w:val="127A1B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sDel="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65"/>
    <w:rsid w:val="00582AB2"/>
    <w:rsid w:val="00606865"/>
    <w:rsid w:val="00B95A1D"/>
    <w:rsid w:val="00DA1A2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9F23"/>
  <w15:docId w15:val="{9691DC48-941E-4037-9A40-DCFFC617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72"/>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6A374A"/>
    <w:rPr>
      <w:color w:val="0563C1" w:themeColor="hyperlink"/>
      <w:u w:val="single"/>
    </w:rPr>
  </w:style>
  <w:style w:type="character" w:customStyle="1" w:styleId="En-tteCar">
    <w:name w:val="En-tête Car"/>
    <w:basedOn w:val="Policepardfaut"/>
    <w:link w:val="En-tte"/>
    <w:uiPriority w:val="99"/>
    <w:qFormat/>
    <w:rsid w:val="001B3653"/>
  </w:style>
  <w:style w:type="character" w:customStyle="1" w:styleId="PieddepageCar">
    <w:name w:val="Pied de page Car"/>
    <w:basedOn w:val="Policepardfaut"/>
    <w:link w:val="Pieddepage"/>
    <w:uiPriority w:val="99"/>
    <w:qFormat/>
    <w:rsid w:val="001B3653"/>
  </w:style>
  <w:style w:type="character" w:customStyle="1" w:styleId="UnresolvedMention1">
    <w:name w:val="Unresolved Mention1"/>
    <w:basedOn w:val="Policepardfaut"/>
    <w:uiPriority w:val="99"/>
    <w:semiHidden/>
    <w:unhideWhenUsed/>
    <w:qFormat/>
    <w:rsid w:val="00E61328"/>
    <w:rPr>
      <w:color w:val="605E5C"/>
      <w:shd w:val="clear" w:color="auto" w:fill="E1DFDD"/>
    </w:rPr>
  </w:style>
  <w:style w:type="character" w:customStyle="1" w:styleId="Accentuation1">
    <w:name w:val="Accentuation1"/>
    <w:basedOn w:val="Policepardfaut"/>
    <w:uiPriority w:val="20"/>
    <w:qFormat/>
    <w:rsid w:val="004306BB"/>
    <w:rPr>
      <w:i/>
      <w:iCs/>
    </w:rPr>
  </w:style>
  <w:style w:type="character" w:customStyle="1" w:styleId="TextedebullesCar">
    <w:name w:val="Texte de bulles Car"/>
    <w:basedOn w:val="Policepardfaut"/>
    <w:link w:val="Textedebulles"/>
    <w:uiPriority w:val="99"/>
    <w:semiHidden/>
    <w:qFormat/>
    <w:rsid w:val="00F76253"/>
    <w:rPr>
      <w:rFonts w:ascii="Segoe UI" w:hAnsi="Segoe UI" w:cs="Segoe UI"/>
      <w:sz w:val="18"/>
      <w:szCs w:val="18"/>
    </w:rPr>
  </w:style>
  <w:style w:type="character" w:styleId="Marquedecommentaire">
    <w:name w:val="annotation reference"/>
    <w:basedOn w:val="Policepardfaut"/>
    <w:uiPriority w:val="99"/>
    <w:semiHidden/>
    <w:unhideWhenUsed/>
    <w:qFormat/>
    <w:rsid w:val="00642950"/>
    <w:rPr>
      <w:sz w:val="16"/>
      <w:szCs w:val="16"/>
    </w:rPr>
  </w:style>
  <w:style w:type="character" w:customStyle="1" w:styleId="CommentaireCar">
    <w:name w:val="Commentaire Car"/>
    <w:basedOn w:val="Policepardfaut"/>
    <w:link w:val="Commentaire"/>
    <w:uiPriority w:val="99"/>
    <w:semiHidden/>
    <w:qFormat/>
    <w:rsid w:val="00642950"/>
    <w:rPr>
      <w:sz w:val="20"/>
      <w:szCs w:val="20"/>
    </w:rPr>
  </w:style>
  <w:style w:type="character" w:customStyle="1" w:styleId="ObjetducommentaireCar">
    <w:name w:val="Objet du commentaire Car"/>
    <w:basedOn w:val="CommentaireCar"/>
    <w:link w:val="Objetducommentaire"/>
    <w:uiPriority w:val="99"/>
    <w:semiHidden/>
    <w:qFormat/>
    <w:rsid w:val="00642950"/>
    <w:rPr>
      <w:b/>
      <w:bCs/>
      <w:sz w:val="20"/>
      <w:szCs w:val="20"/>
    </w:rPr>
  </w:style>
  <w:style w:type="character" w:styleId="lev">
    <w:name w:val="Strong"/>
    <w:basedOn w:val="Policepardfaut"/>
    <w:uiPriority w:val="22"/>
    <w:qFormat/>
    <w:rsid w:val="00E7171F"/>
    <w:rPr>
      <w:b/>
      <w:bCs/>
    </w:rPr>
  </w:style>
  <w:style w:type="character" w:customStyle="1" w:styleId="Accentuation2">
    <w:name w:val="Accentuation2"/>
    <w:basedOn w:val="Policepardfaut"/>
    <w:uiPriority w:val="20"/>
    <w:qFormat/>
    <w:rsid w:val="007A1745"/>
    <w:rPr>
      <w:i/>
      <w:iCs/>
    </w:rPr>
  </w:style>
  <w:style w:type="character" w:customStyle="1" w:styleId="nospace">
    <w:name w:val="nospace"/>
    <w:basedOn w:val="Policepardfaut"/>
    <w:qFormat/>
    <w:rsid w:val="007A1745"/>
  </w:style>
  <w:style w:type="paragraph" w:customStyle="1" w:styleId="Titre1">
    <w:name w:val="Titre1"/>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rsid w:val="00621772"/>
    <w:pPr>
      <w:spacing w:after="140" w:line="276" w:lineRule="auto"/>
    </w:pPr>
  </w:style>
  <w:style w:type="paragraph" w:styleId="Liste">
    <w:name w:val="List"/>
    <w:basedOn w:val="Corpsdetexte"/>
    <w:rsid w:val="00621772"/>
    <w:rPr>
      <w:rFonts w:cs="Mangal"/>
    </w:rPr>
  </w:style>
  <w:style w:type="paragraph" w:styleId="Lgende">
    <w:name w:val="caption"/>
    <w:basedOn w:val="Normal"/>
    <w:qFormat/>
    <w:rsid w:val="00621772"/>
    <w:pPr>
      <w:suppressLineNumbers/>
      <w:spacing w:before="120" w:after="120"/>
    </w:pPr>
    <w:rPr>
      <w:rFonts w:cs="Mangal"/>
      <w:i/>
      <w:iCs/>
      <w:sz w:val="24"/>
      <w:szCs w:val="24"/>
    </w:rPr>
  </w:style>
  <w:style w:type="paragraph" w:customStyle="1" w:styleId="Index">
    <w:name w:val="Index"/>
    <w:basedOn w:val="Normal"/>
    <w:qFormat/>
    <w:rsid w:val="00621772"/>
    <w:pPr>
      <w:suppressLineNumbers/>
    </w:pPr>
    <w:rPr>
      <w:rFonts w:cs="Mangal"/>
    </w:rPr>
  </w:style>
  <w:style w:type="paragraph" w:customStyle="1" w:styleId="Titre10">
    <w:name w:val="Titre1"/>
    <w:basedOn w:val="Normal"/>
    <w:next w:val="Corpsdetexte"/>
    <w:qFormat/>
    <w:rsid w:val="00621772"/>
    <w:pPr>
      <w:keepNext/>
      <w:spacing w:before="240" w:after="120"/>
    </w:pPr>
    <w:rPr>
      <w:rFonts w:ascii="Liberation Sans" w:eastAsia="Microsoft YaHei" w:hAnsi="Liberation Sans" w:cs="Mangal"/>
      <w:sz w:val="28"/>
      <w:szCs w:val="28"/>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1B3653"/>
    <w:pPr>
      <w:tabs>
        <w:tab w:val="center" w:pos="4536"/>
        <w:tab w:val="right" w:pos="9072"/>
      </w:tabs>
      <w:spacing w:after="0" w:line="240" w:lineRule="auto"/>
    </w:pPr>
  </w:style>
  <w:style w:type="paragraph" w:styleId="Pieddepage">
    <w:name w:val="footer"/>
    <w:basedOn w:val="Normal"/>
    <w:link w:val="PieddepageCar"/>
    <w:uiPriority w:val="99"/>
    <w:unhideWhenUsed/>
    <w:rsid w:val="001B3653"/>
    <w:pPr>
      <w:tabs>
        <w:tab w:val="center" w:pos="4536"/>
        <w:tab w:val="right" w:pos="9072"/>
      </w:tabs>
      <w:spacing w:after="0" w:line="240" w:lineRule="auto"/>
    </w:pPr>
  </w:style>
  <w:style w:type="paragraph" w:styleId="NormalWeb">
    <w:name w:val="Normal (Web)"/>
    <w:basedOn w:val="Normal"/>
    <w:uiPriority w:val="99"/>
    <w:unhideWhenUsed/>
    <w:qFormat/>
    <w:rsid w:val="00781617"/>
    <w:rPr>
      <w:rFonts w:ascii="Times New Roman" w:hAnsi="Times New Roman" w:cs="Times New Roman"/>
      <w:sz w:val="24"/>
      <w:szCs w:val="24"/>
    </w:rPr>
  </w:style>
  <w:style w:type="paragraph" w:styleId="Paragraphedeliste">
    <w:name w:val="List Paragraph"/>
    <w:basedOn w:val="Normal"/>
    <w:uiPriority w:val="34"/>
    <w:qFormat/>
    <w:rsid w:val="00D31364"/>
    <w:pPr>
      <w:ind w:left="720"/>
      <w:contextualSpacing/>
    </w:pPr>
  </w:style>
  <w:style w:type="paragraph" w:styleId="Textedebulles">
    <w:name w:val="Balloon Text"/>
    <w:basedOn w:val="Normal"/>
    <w:link w:val="TextedebullesCar"/>
    <w:uiPriority w:val="99"/>
    <w:semiHidden/>
    <w:unhideWhenUsed/>
    <w:qFormat/>
    <w:rsid w:val="00F76253"/>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qFormat/>
    <w:rsid w:val="00642950"/>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642950"/>
    <w:rPr>
      <w:b/>
      <w:bCs/>
    </w:rPr>
  </w:style>
  <w:style w:type="character" w:styleId="Lienhypertexte">
    <w:name w:val="Hyperlink"/>
    <w:basedOn w:val="Policepardfaut"/>
    <w:uiPriority w:val="99"/>
    <w:semiHidden/>
    <w:unhideWhenUsed/>
    <w:rsid w:val="00582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19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uroparl.europa.eu/doceo/document/TA-8-2015-0294_FR.html"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right2water.eu/" TargetMode="External"/><Relationship Id="rId17" Type="http://schemas.openxmlformats.org/officeDocument/2006/relationships/hyperlink" Target="https://journals.openedition.org/regulation/10452" TargetMode="External"/><Relationship Id="rId2" Type="http://schemas.openxmlformats.org/officeDocument/2006/relationships/styles" Target="styles.xml"/><Relationship Id="rId16" Type="http://schemas.openxmlformats.org/officeDocument/2006/relationships/hyperlink" Target="https://ideas4development.org/communs-developpemen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s41561-019-0374-y" TargetMode="External"/><Relationship Id="rId5" Type="http://schemas.openxmlformats.org/officeDocument/2006/relationships/footnotes" Target="footnotes.xml"/><Relationship Id="rId15" Type="http://schemas.openxmlformats.org/officeDocument/2006/relationships/hyperlink" Target="http://www.territoire-durable-2030.developpement-durable.gouv.fr/index.php/td2030/programme/?id=aqua&amp;page=programme" TargetMode="External"/><Relationship Id="rId10" Type="http://schemas.openxmlformats.org/officeDocument/2006/relationships/hyperlink" Target="https://www.usgs.gov/special-topic/water-science-school/science/le-cycle-de-l-eau-water-cycle-french?qt-science_center_objects=0" TargetMode="External"/><Relationship Id="rId19" Type="http://schemas.openxmlformats.org/officeDocument/2006/relationships/hyperlink" Target="https://uicn.fr/wp-content/uploads/2018/06/brochure-sfn-mai2018-web-ok.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esteau.fr/sites/default/files/gesteau/content_files/document/explore207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2792</Words>
  <Characters>15362</Characters>
  <Application>Microsoft Office Word</Application>
  <DocSecurity>0</DocSecurity>
  <Lines>128</Lines>
  <Paragraphs>36</Paragraphs>
  <ScaleCrop>false</ScaleCrop>
  <Company>AESN</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de Largentaye</dc:creator>
  <dc:description/>
  <cp:lastModifiedBy>l.ledain</cp:lastModifiedBy>
  <cp:revision>4</cp:revision>
  <cp:lastPrinted>2020-03-17T13:08:00Z</cp:lastPrinted>
  <dcterms:created xsi:type="dcterms:W3CDTF">2020-05-19T11:13:00Z</dcterms:created>
  <dcterms:modified xsi:type="dcterms:W3CDTF">2020-05-19T11:20:00Z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AESN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