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9CAC" w14:textId="321939A9" w:rsidR="009E5720" w:rsidRDefault="009E572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C5E6A8" wp14:editId="57E7D9CF">
            <wp:simplePos x="0" y="0"/>
            <wp:positionH relativeFrom="column">
              <wp:posOffset>3640455</wp:posOffset>
            </wp:positionH>
            <wp:positionV relativeFrom="page">
              <wp:posOffset>31750</wp:posOffset>
            </wp:positionV>
            <wp:extent cx="2876550" cy="1372870"/>
            <wp:effectExtent l="0" t="0" r="0" b="0"/>
            <wp:wrapSquare wrapText="bothSides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0175D35" wp14:editId="00855F5C">
            <wp:simplePos x="0" y="0"/>
            <wp:positionH relativeFrom="page">
              <wp:posOffset>133350</wp:posOffset>
            </wp:positionH>
            <wp:positionV relativeFrom="page">
              <wp:posOffset>63500</wp:posOffset>
            </wp:positionV>
            <wp:extent cx="3125487" cy="135255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87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9F7AB" w14:textId="77777777" w:rsidR="009E5720" w:rsidRDefault="009E5720">
      <w:pPr>
        <w:jc w:val="center"/>
      </w:pPr>
    </w:p>
    <w:p w14:paraId="4D11F77B" w14:textId="77777777" w:rsidR="009E5720" w:rsidRDefault="009E5720">
      <w:pPr>
        <w:jc w:val="center"/>
      </w:pPr>
    </w:p>
    <w:p w14:paraId="7F92777F" w14:textId="1A06BEB3" w:rsidR="003B179B" w:rsidRPr="001A6CA4" w:rsidRDefault="00ED60A8">
      <w:pPr>
        <w:jc w:val="center"/>
        <w:rPr>
          <w:sz w:val="28"/>
          <w:szCs w:val="28"/>
        </w:rPr>
      </w:pPr>
      <w:r w:rsidRPr="001A6CA4">
        <w:rPr>
          <w:sz w:val="28"/>
          <w:szCs w:val="28"/>
        </w:rPr>
        <w:t xml:space="preserve">Mardis du </w:t>
      </w:r>
      <w:r w:rsidR="00D356EE" w:rsidRPr="001A6CA4">
        <w:rPr>
          <w:sz w:val="28"/>
          <w:szCs w:val="28"/>
        </w:rPr>
        <w:t>Q</w:t>
      </w:r>
      <w:r w:rsidRPr="001A6CA4">
        <w:rPr>
          <w:sz w:val="28"/>
          <w:szCs w:val="28"/>
        </w:rPr>
        <w:t>uai Voltaire</w:t>
      </w:r>
      <w:r w:rsidR="00475173" w:rsidRPr="001A6CA4">
        <w:rPr>
          <w:sz w:val="28"/>
          <w:szCs w:val="28"/>
        </w:rPr>
        <w:t>,</w:t>
      </w:r>
      <w:r w:rsidRPr="001A6CA4">
        <w:rPr>
          <w:sz w:val="28"/>
          <w:szCs w:val="28"/>
        </w:rPr>
        <w:t xml:space="preserve"> </w:t>
      </w:r>
      <w:r w:rsidR="00013741">
        <w:rPr>
          <w:sz w:val="28"/>
          <w:szCs w:val="28"/>
        </w:rPr>
        <w:t>24 janvier</w:t>
      </w:r>
      <w:r w:rsidRPr="001A6CA4">
        <w:rPr>
          <w:sz w:val="28"/>
          <w:szCs w:val="28"/>
        </w:rPr>
        <w:t xml:space="preserve"> 202</w:t>
      </w:r>
      <w:r w:rsidR="00013741">
        <w:rPr>
          <w:sz w:val="28"/>
          <w:szCs w:val="28"/>
        </w:rPr>
        <w:t>3</w:t>
      </w:r>
    </w:p>
    <w:p w14:paraId="30FF351B" w14:textId="51454A52" w:rsidR="003B179B" w:rsidRPr="001A6CA4" w:rsidRDefault="00ED60A8">
      <w:pPr>
        <w:jc w:val="center"/>
      </w:pPr>
      <w:r w:rsidRPr="001A6CA4">
        <w:t>Agriculture et énergie</w:t>
      </w:r>
      <w:r w:rsidR="00013741">
        <w:t> :</w:t>
      </w:r>
      <w:r w:rsidR="009E5720" w:rsidRPr="001A6CA4">
        <w:t xml:space="preserve">                                           </w:t>
      </w:r>
      <w:r w:rsidR="00D356EE" w:rsidRPr="001A6CA4">
        <w:t xml:space="preserve">                                                                                                     </w:t>
      </w:r>
    </w:p>
    <w:p w14:paraId="3C1329E8" w14:textId="2FF3F1DB" w:rsidR="006A390D" w:rsidRPr="001A6CA4" w:rsidRDefault="00013741" w:rsidP="009E072A">
      <w:pPr>
        <w:spacing w:after="0" w:line="250" w:lineRule="auto"/>
        <w:jc w:val="center"/>
      </w:pPr>
      <w:r>
        <w:t xml:space="preserve">Quelle place de </w:t>
      </w:r>
      <w:r w:rsidR="00ED60A8" w:rsidRPr="001A6CA4">
        <w:t>l’agriculture dans le mix énergétique</w:t>
      </w:r>
      <w:r>
        <w:t> ?</w:t>
      </w:r>
    </w:p>
    <w:p w14:paraId="5BA0EFD3" w14:textId="5A922191" w:rsidR="003B179B" w:rsidRPr="001A6CA4" w:rsidRDefault="00475173">
      <w:pPr>
        <w:jc w:val="center"/>
      </w:pPr>
      <w:r w:rsidRPr="001A6CA4">
        <w:t>N</w:t>
      </w:r>
      <w:r w:rsidR="00ED60A8" w:rsidRPr="001A6CA4">
        <w:t>ote de cadrage</w:t>
      </w:r>
      <w:r w:rsidRPr="001A6CA4">
        <w:t xml:space="preserve"> V</w:t>
      </w:r>
      <w:r w:rsidR="00013741">
        <w:t>6</w:t>
      </w:r>
    </w:p>
    <w:p w14:paraId="481D67AA" w14:textId="77777777" w:rsidR="003B179B" w:rsidRPr="001A6CA4" w:rsidRDefault="003B179B"/>
    <w:p w14:paraId="4AA17A32" w14:textId="77777777" w:rsidR="00013741" w:rsidRPr="00013741" w:rsidRDefault="00013741" w:rsidP="00721126">
      <w:pPr>
        <w:jc w:val="both"/>
        <w:rPr>
          <w:rFonts w:eastAsia="Times New Roman" w:cs="Calibri"/>
          <w:b/>
          <w:bCs/>
          <w:lang w:eastAsia="fr-FR"/>
        </w:rPr>
      </w:pPr>
      <w:r w:rsidRPr="00013741">
        <w:rPr>
          <w:rFonts w:eastAsia="Times New Roman" w:cs="Calibri"/>
          <w:b/>
          <w:bCs/>
          <w:lang w:eastAsia="fr-FR"/>
        </w:rPr>
        <w:t>Enjeux énergétiques</w:t>
      </w:r>
    </w:p>
    <w:p w14:paraId="56DF3037" w14:textId="63450B2D" w:rsidR="00534489" w:rsidRDefault="00180EF0" w:rsidP="00721126">
      <w:pPr>
        <w:jc w:val="both"/>
        <w:rPr>
          <w:rFonts w:eastAsia="Times New Roman" w:cs="Calibri"/>
          <w:lang w:eastAsia="fr-FR"/>
        </w:rPr>
      </w:pPr>
      <w:r w:rsidRPr="001A6CA4">
        <w:rPr>
          <w:rFonts w:eastAsia="Times New Roman" w:cs="Calibri"/>
          <w:lang w:eastAsia="fr-FR"/>
        </w:rPr>
        <w:t>L</w:t>
      </w:r>
      <w:r w:rsidR="00222A5C">
        <w:rPr>
          <w:rFonts w:eastAsia="Times New Roman" w:cs="Calibri"/>
          <w:lang w:eastAsia="fr-FR"/>
        </w:rPr>
        <w:t>a place</w:t>
      </w:r>
      <w:r w:rsidR="00251568">
        <w:rPr>
          <w:rFonts w:eastAsia="Times New Roman" w:cs="Calibri"/>
          <w:lang w:eastAsia="fr-FR"/>
        </w:rPr>
        <w:t xml:space="preserve"> </w:t>
      </w:r>
      <w:r w:rsidR="00ED60A8" w:rsidRPr="001A6CA4">
        <w:rPr>
          <w:rFonts w:eastAsia="Times New Roman" w:cs="Calibri"/>
          <w:lang w:eastAsia="fr-FR"/>
        </w:rPr>
        <w:t xml:space="preserve">de l’agriculture dans le mix énergétique de la France reflète </w:t>
      </w:r>
      <w:r w:rsidR="001418CA">
        <w:rPr>
          <w:rFonts w:eastAsia="Times New Roman" w:cs="Calibri"/>
          <w:lang w:eastAsia="fr-FR"/>
        </w:rPr>
        <w:t>la</w:t>
      </w:r>
      <w:r w:rsidR="00ED60A8" w:rsidRPr="001A6CA4">
        <w:rPr>
          <w:rFonts w:eastAsia="Times New Roman" w:cs="Calibri"/>
          <w:lang w:eastAsia="fr-FR"/>
        </w:rPr>
        <w:t xml:space="preserve"> double préoccupation </w:t>
      </w:r>
      <w:r w:rsidR="001418CA">
        <w:rPr>
          <w:rFonts w:eastAsia="Times New Roman" w:cs="Calibri"/>
          <w:lang w:eastAsia="fr-FR"/>
        </w:rPr>
        <w:t>du</w:t>
      </w:r>
      <w:r w:rsidR="00ED60A8" w:rsidRPr="001A6CA4">
        <w:rPr>
          <w:rFonts w:eastAsia="Times New Roman" w:cs="Calibri"/>
          <w:lang w:eastAsia="fr-FR"/>
        </w:rPr>
        <w:t xml:space="preserve"> réchauffement climatique et </w:t>
      </w:r>
      <w:r w:rsidR="001418CA">
        <w:rPr>
          <w:rFonts w:eastAsia="Times New Roman" w:cs="Calibri"/>
          <w:lang w:eastAsia="fr-FR"/>
        </w:rPr>
        <w:t>du</w:t>
      </w:r>
      <w:r w:rsidR="00ED60A8" w:rsidRPr="001A6CA4">
        <w:rPr>
          <w:rFonts w:eastAsia="Times New Roman" w:cs="Calibri"/>
          <w:lang w:eastAsia="fr-FR"/>
        </w:rPr>
        <w:t xml:space="preserve"> déficit énergétique de la France. </w:t>
      </w:r>
      <w:r w:rsidR="007C78F5">
        <w:rPr>
          <w:rFonts w:eastAsia="Times New Roman" w:cs="Calibri"/>
          <w:lang w:eastAsia="fr-FR"/>
        </w:rPr>
        <w:t xml:space="preserve"> </w:t>
      </w:r>
      <w:r w:rsidR="00ED60A8" w:rsidRPr="00721126">
        <w:rPr>
          <w:rFonts w:eastAsia="Times New Roman" w:cs="Calibri"/>
          <w:lang w:eastAsia="fr-FR"/>
        </w:rPr>
        <w:t>En ce qui concerne l</w:t>
      </w:r>
      <w:r w:rsidR="00AC674F" w:rsidRPr="00721126">
        <w:rPr>
          <w:rFonts w:eastAsia="Times New Roman" w:cs="Calibri"/>
          <w:lang w:eastAsia="fr-FR"/>
        </w:rPr>
        <w:t>e</w:t>
      </w:r>
      <w:r w:rsidR="00ED60A8" w:rsidRPr="00721126">
        <w:rPr>
          <w:rFonts w:eastAsia="Times New Roman" w:cs="Calibri"/>
          <w:lang w:eastAsia="fr-FR"/>
        </w:rPr>
        <w:t xml:space="preserve"> réchauffement climatique, </w:t>
      </w:r>
      <w:r w:rsidR="007C78F5">
        <w:rPr>
          <w:rFonts w:eastAsia="Times New Roman" w:cs="Calibri"/>
          <w:lang w:eastAsia="fr-FR"/>
        </w:rPr>
        <w:t>l</w:t>
      </w:r>
      <w:r w:rsidR="00ED60A8" w:rsidRPr="00721126">
        <w:rPr>
          <w:rFonts w:eastAsia="Times New Roman" w:cs="Calibri"/>
          <w:lang w:eastAsia="fr-FR"/>
        </w:rPr>
        <w:t xml:space="preserve">’agriculture </w:t>
      </w:r>
      <w:r w:rsidR="00222A5C">
        <w:rPr>
          <w:rFonts w:eastAsia="Times New Roman" w:cs="Calibri"/>
          <w:lang w:eastAsia="fr-FR"/>
        </w:rPr>
        <w:t xml:space="preserve">exploite </w:t>
      </w:r>
      <w:r w:rsidR="00ED60A8" w:rsidRPr="00721126">
        <w:rPr>
          <w:rFonts w:eastAsia="Times New Roman" w:cs="Calibri"/>
          <w:lang w:eastAsia="fr-FR"/>
        </w:rPr>
        <w:t>la photosynthèse</w:t>
      </w:r>
      <w:r w:rsidR="00D5050A">
        <w:rPr>
          <w:rFonts w:eastAsia="Times New Roman" w:cs="Calibri"/>
          <w:lang w:eastAsia="fr-FR"/>
        </w:rPr>
        <w:t xml:space="preserve"> </w:t>
      </w:r>
      <w:r w:rsidR="007C78F5">
        <w:rPr>
          <w:rFonts w:eastAsia="Times New Roman" w:cs="Calibri"/>
          <w:lang w:eastAsia="fr-FR"/>
        </w:rPr>
        <w:t xml:space="preserve">végétale </w:t>
      </w:r>
      <w:r w:rsidR="00D5050A">
        <w:rPr>
          <w:rFonts w:eastAsia="Times New Roman" w:cs="Calibri"/>
          <w:lang w:eastAsia="fr-FR"/>
        </w:rPr>
        <w:t xml:space="preserve">qui </w:t>
      </w:r>
      <w:r w:rsidR="007C78F5">
        <w:rPr>
          <w:rFonts w:eastAsia="Times New Roman" w:cs="Calibri"/>
          <w:lang w:eastAsia="fr-FR"/>
        </w:rPr>
        <w:t xml:space="preserve">extrait de l’atmosphère </w:t>
      </w:r>
      <w:r w:rsidR="00D5050A">
        <w:rPr>
          <w:rFonts w:eastAsia="Times New Roman" w:cs="Calibri"/>
          <w:lang w:eastAsia="fr-FR"/>
        </w:rPr>
        <w:t>le gaz carbonique</w:t>
      </w:r>
      <w:r w:rsidR="007C78F5">
        <w:rPr>
          <w:rFonts w:eastAsia="Times New Roman" w:cs="Calibri"/>
          <w:lang w:eastAsia="fr-FR"/>
        </w:rPr>
        <w:t>,</w:t>
      </w:r>
      <w:r w:rsidR="00D5050A">
        <w:rPr>
          <w:rFonts w:eastAsia="Times New Roman" w:cs="Calibri"/>
          <w:lang w:eastAsia="fr-FR"/>
        </w:rPr>
        <w:t xml:space="preserve"> principal gaz à effet de serre</w:t>
      </w:r>
      <w:r w:rsidR="00ED60A8" w:rsidRPr="00721126">
        <w:rPr>
          <w:rFonts w:eastAsia="Times New Roman" w:cs="Calibri"/>
          <w:lang w:eastAsia="fr-FR"/>
        </w:rPr>
        <w:t xml:space="preserve">. </w:t>
      </w:r>
      <w:r w:rsidR="00222A5C">
        <w:rPr>
          <w:rFonts w:eastAsia="Times New Roman" w:cs="Calibri"/>
          <w:lang w:eastAsia="fr-FR"/>
        </w:rPr>
        <w:t xml:space="preserve">Mais </w:t>
      </w:r>
      <w:r w:rsidR="00BA24EF">
        <w:rPr>
          <w:rFonts w:eastAsia="Times New Roman" w:cs="Calibri"/>
          <w:lang w:eastAsia="fr-FR"/>
        </w:rPr>
        <w:t>l’agriculture</w:t>
      </w:r>
      <w:r w:rsidR="00222A5C">
        <w:rPr>
          <w:rFonts w:eastAsia="Times New Roman" w:cs="Calibri"/>
          <w:lang w:eastAsia="fr-FR"/>
        </w:rPr>
        <w:t xml:space="preserve"> émet aussi des gaz à effet de serre</w:t>
      </w:r>
      <w:r w:rsidR="00786DDC">
        <w:rPr>
          <w:rFonts w:eastAsia="Times New Roman" w:cs="Calibri"/>
          <w:lang w:eastAsia="fr-FR"/>
        </w:rPr>
        <w:t>,</w:t>
      </w:r>
      <w:r w:rsidR="00222A5C">
        <w:rPr>
          <w:rFonts w:eastAsia="Times New Roman" w:cs="Calibri"/>
          <w:lang w:eastAsia="fr-FR"/>
        </w:rPr>
        <w:t xml:space="preserve"> soit directement (méthane de l’élevage) soit indirectement (fabrication et épandage d’engrais azotés). </w:t>
      </w:r>
      <w:r w:rsidR="00534489">
        <w:rPr>
          <w:rFonts w:eastAsia="Times New Roman" w:cs="Calibri"/>
          <w:lang w:eastAsia="fr-FR"/>
        </w:rPr>
        <w:t xml:space="preserve">Le secteur agricole est actuellement un des principaux contributeurs aux émissions de gaz à effet de serre, après le logement et le transport. </w:t>
      </w:r>
    </w:p>
    <w:p w14:paraId="1AA9F14E" w14:textId="6CE2E103" w:rsidR="003B179B" w:rsidRPr="002B79A4" w:rsidRDefault="00ED60A8" w:rsidP="00721126">
      <w:pPr>
        <w:jc w:val="both"/>
        <w:rPr>
          <w:rFonts w:eastAsia="Times New Roman" w:cs="Calibri"/>
          <w:lang w:eastAsia="fr-FR"/>
        </w:rPr>
      </w:pPr>
      <w:r w:rsidRPr="001A6CA4">
        <w:rPr>
          <w:rFonts w:eastAsia="Times New Roman" w:cs="Calibri"/>
          <w:lang w:eastAsia="fr-FR"/>
        </w:rPr>
        <w:t xml:space="preserve">En ce qui concerne le déficit énergétique de la France, </w:t>
      </w:r>
      <w:r w:rsidR="00350AC7" w:rsidRPr="001A6CA4">
        <w:rPr>
          <w:rFonts w:eastAsia="Times New Roman" w:cs="Calibri"/>
          <w:lang w:eastAsia="fr-FR"/>
        </w:rPr>
        <w:t xml:space="preserve">chaque crise de l’énergie </w:t>
      </w:r>
      <w:r w:rsidR="004644E0" w:rsidRPr="001A6CA4">
        <w:rPr>
          <w:rFonts w:eastAsia="Times New Roman" w:cs="Calibri"/>
          <w:lang w:eastAsia="fr-FR"/>
        </w:rPr>
        <w:t>fa</w:t>
      </w:r>
      <w:r w:rsidR="00251568">
        <w:rPr>
          <w:rFonts w:eastAsia="Times New Roman" w:cs="Calibri"/>
          <w:lang w:eastAsia="fr-FR"/>
        </w:rPr>
        <w:t>i</w:t>
      </w:r>
      <w:r w:rsidR="004644E0" w:rsidRPr="001A6CA4">
        <w:rPr>
          <w:rFonts w:eastAsia="Times New Roman" w:cs="Calibri"/>
          <w:lang w:eastAsia="fr-FR"/>
        </w:rPr>
        <w:t xml:space="preserve">t </w:t>
      </w:r>
      <w:r w:rsidR="00DF3C2B" w:rsidRPr="001A6CA4">
        <w:rPr>
          <w:rFonts w:eastAsia="Times New Roman" w:cs="Calibri"/>
          <w:lang w:eastAsia="fr-FR"/>
        </w:rPr>
        <w:t>re</w:t>
      </w:r>
      <w:r w:rsidR="00750740" w:rsidRPr="001A6CA4">
        <w:rPr>
          <w:rFonts w:eastAsia="Times New Roman" w:cs="Calibri"/>
          <w:lang w:eastAsia="fr-FR"/>
        </w:rPr>
        <w:t>considérer les</w:t>
      </w:r>
      <w:r w:rsidRPr="001A6CA4">
        <w:rPr>
          <w:rFonts w:eastAsia="Times New Roman" w:cs="Calibri"/>
          <w:lang w:eastAsia="fr-FR"/>
        </w:rPr>
        <w:t xml:space="preserve"> capacités</w:t>
      </w:r>
      <w:r w:rsidR="005A67D2">
        <w:rPr>
          <w:rFonts w:eastAsia="Times New Roman" w:cs="Calibri"/>
          <w:lang w:eastAsia="fr-FR"/>
        </w:rPr>
        <w:t xml:space="preserve"> de l’agriculture</w:t>
      </w:r>
      <w:r w:rsidR="00F26723">
        <w:rPr>
          <w:rFonts w:eastAsia="Times New Roman" w:cs="Calibri"/>
          <w:lang w:eastAsia="fr-FR"/>
        </w:rPr>
        <w:t>.</w:t>
      </w:r>
      <w:r w:rsidRPr="001A6CA4">
        <w:rPr>
          <w:rFonts w:eastAsia="Times New Roman" w:cs="Calibri"/>
          <w:lang w:eastAsia="fr-FR"/>
        </w:rPr>
        <w:t xml:space="preserve"> </w:t>
      </w:r>
      <w:r w:rsidRPr="002B79A4">
        <w:rPr>
          <w:rFonts w:eastAsia="Times New Roman" w:cs="Calibri"/>
          <w:lang w:eastAsia="fr-FR"/>
        </w:rPr>
        <w:t xml:space="preserve">La guerre en Ukraine </w:t>
      </w:r>
      <w:r w:rsidR="001D762B">
        <w:rPr>
          <w:rFonts w:eastAsia="Times New Roman" w:cs="Calibri"/>
          <w:lang w:eastAsia="fr-FR"/>
        </w:rPr>
        <w:t>n’a fait qu’accentuer l’urgence de la réduction de consommation d’énergies fossiles</w:t>
      </w:r>
      <w:r w:rsidRPr="002B79A4">
        <w:rPr>
          <w:rFonts w:eastAsia="Times New Roman" w:cs="Calibri"/>
          <w:lang w:eastAsia="fr-FR"/>
        </w:rPr>
        <w:t>.</w:t>
      </w:r>
    </w:p>
    <w:p w14:paraId="70925DF8" w14:textId="77777777" w:rsidR="00013741" w:rsidRPr="000E242B" w:rsidRDefault="00013741">
      <w:pPr>
        <w:jc w:val="both"/>
        <w:rPr>
          <w:rFonts w:eastAsia="Times New Roman" w:cs="Calibri"/>
          <w:b/>
          <w:bCs/>
          <w:lang w:eastAsia="fr-FR"/>
        </w:rPr>
      </w:pPr>
      <w:r w:rsidRPr="000E242B">
        <w:rPr>
          <w:rFonts w:eastAsia="Times New Roman" w:cs="Calibri"/>
          <w:b/>
          <w:bCs/>
          <w:lang w:eastAsia="fr-FR"/>
        </w:rPr>
        <w:t>Réchauffement climatique</w:t>
      </w:r>
    </w:p>
    <w:p w14:paraId="4387A225" w14:textId="4A1E63C7" w:rsidR="000E242B" w:rsidRDefault="000C3E20">
      <w:pPr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>L</w:t>
      </w:r>
      <w:r w:rsidR="000E242B">
        <w:rPr>
          <w:rFonts w:eastAsia="Times New Roman" w:cs="Calibri"/>
          <w:lang w:eastAsia="fr-FR"/>
        </w:rPr>
        <w:t xml:space="preserve">es Nations Unies, l’Union européenne et la France ont mis en place d’ambitieuses mesures de réduction des émissions de gaz à effet de serre. </w:t>
      </w:r>
    </w:p>
    <w:p w14:paraId="19EE53B7" w14:textId="4E2500B3" w:rsidR="00B37F16" w:rsidRPr="001D762B" w:rsidRDefault="000E242B" w:rsidP="00B37F16">
      <w:pPr>
        <w:pStyle w:val="ListParagraph"/>
        <w:numPr>
          <w:ilvl w:val="0"/>
          <w:numId w:val="9"/>
        </w:numPr>
        <w:jc w:val="both"/>
        <w:rPr>
          <w:rFonts w:eastAsia="Times New Roman" w:cs="Calibri"/>
          <w:lang w:eastAsia="fr-FR"/>
        </w:rPr>
      </w:pPr>
      <w:r w:rsidRPr="000E242B">
        <w:rPr>
          <w:rFonts w:eastAsia="Times New Roman" w:cs="Calibri"/>
          <w:lang w:eastAsia="fr-FR"/>
        </w:rPr>
        <w:t>La convention cadre des Nations Unies</w:t>
      </w:r>
      <w:r w:rsidR="00B37F16" w:rsidRPr="00B37F16">
        <w:rPr>
          <w:rFonts w:eastAsia="Times New Roman" w:cs="Calibri"/>
          <w:lang w:eastAsia="fr-FR"/>
        </w:rPr>
        <w:t xml:space="preserve"> </w:t>
      </w:r>
      <w:r w:rsidR="00B37F16" w:rsidRPr="001A6CA4">
        <w:rPr>
          <w:rFonts w:eastAsia="Times New Roman" w:cs="Calibri"/>
          <w:lang w:eastAsia="fr-FR"/>
        </w:rPr>
        <w:t xml:space="preserve">sur le changement climatique </w:t>
      </w:r>
      <w:r w:rsidR="00B37F16">
        <w:rPr>
          <w:rFonts w:eastAsia="Times New Roman" w:cs="Calibri"/>
          <w:lang w:eastAsia="fr-FR"/>
        </w:rPr>
        <w:t xml:space="preserve">(CNUCC, 1992) </w:t>
      </w:r>
      <w:r w:rsidR="00B37F16" w:rsidRPr="001A6CA4">
        <w:rPr>
          <w:rFonts w:eastAsia="Times New Roman" w:cs="Calibri"/>
          <w:lang w:eastAsia="fr-FR"/>
        </w:rPr>
        <w:t xml:space="preserve">a </w:t>
      </w:r>
      <w:r w:rsidR="00B37F16">
        <w:rPr>
          <w:rFonts w:eastAsia="Times New Roman" w:cs="Calibri"/>
          <w:lang w:eastAsia="fr-FR"/>
        </w:rPr>
        <w:t xml:space="preserve">conduit à </w:t>
      </w:r>
      <w:r w:rsidR="00B37F16" w:rsidRPr="001A6CA4">
        <w:rPr>
          <w:rFonts w:eastAsia="Times New Roman" w:cs="Calibri"/>
          <w:lang w:eastAsia="fr-FR"/>
        </w:rPr>
        <w:t>l’accord de</w:t>
      </w:r>
      <w:r w:rsidR="00B37F16" w:rsidRPr="001D762B">
        <w:rPr>
          <w:rFonts w:eastAsia="Times New Roman" w:cs="Calibri"/>
          <w:lang w:eastAsia="fr-FR"/>
        </w:rPr>
        <w:t xml:space="preserve"> Paris (</w:t>
      </w:r>
      <w:r w:rsidR="00B37F16">
        <w:rPr>
          <w:rFonts w:eastAsia="Times New Roman" w:cs="Calibri"/>
          <w:lang w:eastAsia="fr-FR"/>
        </w:rPr>
        <w:t xml:space="preserve">COP 21, </w:t>
      </w:r>
      <w:r w:rsidR="00B37F16" w:rsidRPr="001D762B">
        <w:rPr>
          <w:rFonts w:eastAsia="Times New Roman" w:cs="Calibri"/>
          <w:lang w:eastAsia="fr-FR"/>
        </w:rPr>
        <w:t xml:space="preserve">2015) </w:t>
      </w:r>
      <w:r w:rsidR="00437091">
        <w:rPr>
          <w:rFonts w:eastAsia="Times New Roman" w:cs="Calibri"/>
          <w:lang w:eastAsia="fr-FR"/>
        </w:rPr>
        <w:t xml:space="preserve">pour </w:t>
      </w:r>
      <w:r w:rsidR="0007768D">
        <w:rPr>
          <w:rFonts w:eastAsia="Times New Roman" w:cs="Calibri"/>
          <w:lang w:eastAsia="fr-FR"/>
        </w:rPr>
        <w:t>la</w:t>
      </w:r>
      <w:r w:rsidR="00437091">
        <w:rPr>
          <w:rFonts w:eastAsia="Times New Roman" w:cs="Calibri"/>
          <w:lang w:eastAsia="fr-FR"/>
        </w:rPr>
        <w:t xml:space="preserve"> </w:t>
      </w:r>
      <w:r w:rsidR="00B37F16" w:rsidRPr="001D762B">
        <w:rPr>
          <w:rFonts w:eastAsia="Times New Roman" w:cs="Calibri"/>
          <w:lang w:eastAsia="fr-FR"/>
        </w:rPr>
        <w:t>limit</w:t>
      </w:r>
      <w:r w:rsidR="00437091">
        <w:rPr>
          <w:rFonts w:eastAsia="Times New Roman" w:cs="Calibri"/>
          <w:lang w:eastAsia="fr-FR"/>
        </w:rPr>
        <w:t>ation du</w:t>
      </w:r>
      <w:r w:rsidR="00B37F16" w:rsidRPr="001D762B">
        <w:rPr>
          <w:rFonts w:eastAsia="Times New Roman" w:cs="Calibri"/>
          <w:lang w:eastAsia="fr-FR"/>
        </w:rPr>
        <w:t xml:space="preserve"> réchauffement climatique à 2 degrés et la neutralité carbone en 2100. </w:t>
      </w:r>
      <w:r w:rsidR="00222A5C">
        <w:rPr>
          <w:rFonts w:eastAsia="Times New Roman" w:cs="Calibri"/>
          <w:lang w:eastAsia="fr-FR"/>
        </w:rPr>
        <w:t>A la récente COP 27, qui s’est surtout préoccupée de compensations internationales, les objectifs de la COP 21 sont apparus bientôt hors de portée.</w:t>
      </w:r>
    </w:p>
    <w:p w14:paraId="363141FE" w14:textId="77777777" w:rsidR="0007768D" w:rsidRDefault="000E242B" w:rsidP="0007768D">
      <w:pPr>
        <w:pStyle w:val="Paragraphedeliste1"/>
        <w:numPr>
          <w:ilvl w:val="0"/>
          <w:numId w:val="1"/>
        </w:numPr>
        <w:spacing w:after="0" w:line="250" w:lineRule="auto"/>
        <w:ind w:hanging="357"/>
        <w:jc w:val="both"/>
        <w:rPr>
          <w:rFonts w:eastAsia="Times New Roman" w:cs="Calibri"/>
          <w:lang w:eastAsia="fr-FR"/>
        </w:rPr>
      </w:pPr>
      <w:r w:rsidRPr="000E242B">
        <w:rPr>
          <w:rFonts w:eastAsia="Times New Roman" w:cs="Calibri"/>
          <w:lang w:eastAsia="fr-FR"/>
        </w:rPr>
        <w:t>En 2009</w:t>
      </w:r>
      <w:r>
        <w:rPr>
          <w:rFonts w:eastAsia="Times New Roman" w:cs="Calibri"/>
          <w:lang w:eastAsia="fr-FR"/>
        </w:rPr>
        <w:t>,</w:t>
      </w:r>
      <w:r w:rsidRPr="000E242B">
        <w:rPr>
          <w:rFonts w:eastAsia="Times New Roman" w:cs="Calibri"/>
          <w:lang w:eastAsia="fr-FR"/>
        </w:rPr>
        <w:t xml:space="preserve"> l’Union européenne a </w:t>
      </w:r>
      <w:r w:rsidR="00437091">
        <w:rPr>
          <w:rFonts w:eastAsia="Times New Roman" w:cs="Calibri"/>
          <w:lang w:eastAsia="fr-FR"/>
        </w:rPr>
        <w:t>émis la</w:t>
      </w:r>
      <w:r w:rsidRPr="000E242B">
        <w:rPr>
          <w:rFonts w:eastAsia="Times New Roman" w:cs="Calibri"/>
          <w:lang w:eastAsia="fr-FR"/>
        </w:rPr>
        <w:t xml:space="preserve"> directive 2009/28/CE</w:t>
      </w:r>
      <w:r w:rsidR="00437091">
        <w:rPr>
          <w:rFonts w:eastAsia="Times New Roman" w:cs="Calibri"/>
          <w:lang w:eastAsia="fr-FR"/>
        </w:rPr>
        <w:t>,</w:t>
      </w:r>
      <w:r w:rsidRPr="000E242B">
        <w:rPr>
          <w:rFonts w:eastAsia="Times New Roman" w:cs="Calibri"/>
          <w:lang w:eastAsia="fr-FR"/>
        </w:rPr>
        <w:t xml:space="preserve"> dite « 3 x 20 »</w:t>
      </w:r>
      <w:r w:rsidR="00437091">
        <w:rPr>
          <w:rFonts w:eastAsia="Times New Roman" w:cs="Calibri"/>
          <w:lang w:eastAsia="fr-FR"/>
        </w:rPr>
        <w:t>,</w:t>
      </w:r>
      <w:r w:rsidR="00B37F16" w:rsidRPr="00B37F16">
        <w:rPr>
          <w:rFonts w:eastAsia="Times New Roman" w:cs="Calibri"/>
          <w:lang w:eastAsia="fr-FR"/>
        </w:rPr>
        <w:t xml:space="preserve"> </w:t>
      </w:r>
      <w:r w:rsidR="00B37F16" w:rsidRPr="001A6CA4">
        <w:rPr>
          <w:rFonts w:eastAsia="Times New Roman" w:cs="Calibri"/>
          <w:lang w:eastAsia="fr-FR"/>
        </w:rPr>
        <w:t>prévoyant à l’horizon 2020</w:t>
      </w:r>
      <w:r w:rsidR="0007768D">
        <w:rPr>
          <w:rFonts w:eastAsia="Times New Roman" w:cs="Calibri"/>
          <w:lang w:eastAsia="fr-FR"/>
        </w:rPr>
        <w:t> :</w:t>
      </w:r>
      <w:r w:rsidR="00B37F16" w:rsidRPr="001A6CA4">
        <w:rPr>
          <w:rFonts w:eastAsia="Times New Roman" w:cs="Calibri"/>
          <w:lang w:eastAsia="fr-FR"/>
        </w:rPr>
        <w:t xml:space="preserve"> </w:t>
      </w:r>
    </w:p>
    <w:p w14:paraId="750648EB" w14:textId="77777777" w:rsidR="0007768D" w:rsidRDefault="00B37F16" w:rsidP="0007768D">
      <w:pPr>
        <w:pStyle w:val="Paragraphedeliste1"/>
        <w:numPr>
          <w:ilvl w:val="1"/>
          <w:numId w:val="1"/>
        </w:numPr>
        <w:spacing w:after="0" w:line="250" w:lineRule="auto"/>
        <w:ind w:hanging="357"/>
        <w:jc w:val="both"/>
        <w:rPr>
          <w:rFonts w:eastAsia="Times New Roman" w:cs="Calibri"/>
          <w:lang w:eastAsia="fr-FR"/>
        </w:rPr>
      </w:pPr>
      <w:r w:rsidRPr="001A6CA4">
        <w:rPr>
          <w:rFonts w:eastAsia="Times New Roman" w:cs="Calibri"/>
          <w:lang w:eastAsia="fr-FR"/>
        </w:rPr>
        <w:t xml:space="preserve">la réduction de 20% de la consommation d’énergie, </w:t>
      </w:r>
    </w:p>
    <w:p w14:paraId="5EB42AF6" w14:textId="77777777" w:rsidR="0007768D" w:rsidRDefault="00B37F16" w:rsidP="0007768D">
      <w:pPr>
        <w:pStyle w:val="Paragraphedeliste1"/>
        <w:numPr>
          <w:ilvl w:val="1"/>
          <w:numId w:val="1"/>
        </w:numPr>
        <w:spacing w:after="0" w:line="250" w:lineRule="auto"/>
        <w:ind w:hanging="357"/>
        <w:jc w:val="both"/>
        <w:rPr>
          <w:rFonts w:eastAsia="Times New Roman" w:cs="Calibri"/>
          <w:lang w:eastAsia="fr-FR"/>
        </w:rPr>
      </w:pPr>
      <w:r w:rsidRPr="001A6CA4">
        <w:rPr>
          <w:rFonts w:eastAsia="Times New Roman" w:cs="Calibri"/>
          <w:lang w:eastAsia="fr-FR"/>
        </w:rPr>
        <w:t>la réduction de 20% des émissions de gaz à effet de serre</w:t>
      </w:r>
      <w:r w:rsidR="0007768D">
        <w:rPr>
          <w:rFonts w:eastAsia="Times New Roman" w:cs="Calibri"/>
          <w:lang w:eastAsia="fr-FR"/>
        </w:rPr>
        <w:t>,</w:t>
      </w:r>
      <w:r w:rsidRPr="001A6CA4">
        <w:rPr>
          <w:rFonts w:eastAsia="Times New Roman" w:cs="Calibri"/>
          <w:lang w:eastAsia="fr-FR"/>
        </w:rPr>
        <w:t xml:space="preserve"> </w:t>
      </w:r>
    </w:p>
    <w:p w14:paraId="167F617B" w14:textId="77777777" w:rsidR="0007768D" w:rsidRDefault="00B37F16" w:rsidP="0007768D">
      <w:pPr>
        <w:pStyle w:val="Paragraphedeliste1"/>
        <w:numPr>
          <w:ilvl w:val="1"/>
          <w:numId w:val="1"/>
        </w:numPr>
        <w:spacing w:after="0" w:line="250" w:lineRule="auto"/>
        <w:ind w:hanging="357"/>
        <w:jc w:val="both"/>
        <w:rPr>
          <w:rFonts w:eastAsia="Times New Roman" w:cs="Calibri"/>
          <w:lang w:eastAsia="fr-FR"/>
        </w:rPr>
      </w:pPr>
      <w:r w:rsidRPr="001A6CA4">
        <w:rPr>
          <w:rFonts w:eastAsia="Times New Roman" w:cs="Calibri"/>
          <w:lang w:eastAsia="fr-FR"/>
        </w:rPr>
        <w:t xml:space="preserve">l’atteinte de 20% de la consommation pour les énergies renouvelables. </w:t>
      </w:r>
    </w:p>
    <w:p w14:paraId="38C924EA" w14:textId="502C6AF2" w:rsidR="00B37F16" w:rsidRPr="001A6CA4" w:rsidRDefault="00534489" w:rsidP="0007768D">
      <w:pPr>
        <w:pStyle w:val="Paragraphedeliste1"/>
        <w:ind w:left="360"/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 xml:space="preserve">En </w:t>
      </w:r>
      <w:r w:rsidR="00B37F16">
        <w:rPr>
          <w:rFonts w:eastAsia="Times New Roman" w:cs="Calibri"/>
          <w:lang w:eastAsia="fr-FR"/>
        </w:rPr>
        <w:t xml:space="preserve">2022 </w:t>
      </w:r>
      <w:r>
        <w:rPr>
          <w:rFonts w:eastAsia="Times New Roman" w:cs="Calibri"/>
          <w:lang w:eastAsia="fr-FR"/>
        </w:rPr>
        <w:t xml:space="preserve">le Conseil européen </w:t>
      </w:r>
      <w:r w:rsidR="00B37F16">
        <w:rPr>
          <w:rFonts w:eastAsia="Times New Roman" w:cs="Calibri"/>
          <w:lang w:eastAsia="fr-FR"/>
        </w:rPr>
        <w:t>sous présidence française a adopté 13 propositions pour réduire les émissions de gaz à effet de serre de 55% en 2030.</w:t>
      </w:r>
    </w:p>
    <w:p w14:paraId="5ABD7ECF" w14:textId="20D35057" w:rsidR="000E242B" w:rsidRPr="000E242B" w:rsidRDefault="000E242B" w:rsidP="000E242B">
      <w:pPr>
        <w:pStyle w:val="ListParagraph"/>
        <w:numPr>
          <w:ilvl w:val="0"/>
          <w:numId w:val="10"/>
        </w:numPr>
        <w:jc w:val="both"/>
        <w:rPr>
          <w:rFonts w:eastAsia="Times New Roman" w:cs="Calibri"/>
          <w:lang w:eastAsia="fr-FR"/>
        </w:rPr>
      </w:pPr>
      <w:r w:rsidRPr="000E242B">
        <w:rPr>
          <w:rFonts w:eastAsia="Times New Roman" w:cs="Calibri"/>
          <w:lang w:eastAsia="fr-FR"/>
        </w:rPr>
        <w:t xml:space="preserve">En 2015, la France a adopté la loi sur la transition énergétique et la croissance verte. </w:t>
      </w:r>
      <w:r w:rsidR="00CE3A55">
        <w:rPr>
          <w:rFonts w:eastAsia="Times New Roman" w:cs="Calibri"/>
          <w:lang w:eastAsia="fr-FR"/>
        </w:rPr>
        <w:t xml:space="preserve">Cette loi, qui </w:t>
      </w:r>
      <w:r w:rsidR="0007768D">
        <w:rPr>
          <w:rFonts w:eastAsia="Times New Roman" w:cs="Calibri"/>
          <w:lang w:eastAsia="fr-FR"/>
        </w:rPr>
        <w:t xml:space="preserve">a </w:t>
      </w:r>
      <w:r w:rsidR="00CE3A55">
        <w:rPr>
          <w:rFonts w:eastAsia="Times New Roman" w:cs="Calibri"/>
          <w:lang w:eastAsia="fr-FR"/>
        </w:rPr>
        <w:t>annonc</w:t>
      </w:r>
      <w:r w:rsidR="0007768D">
        <w:rPr>
          <w:rFonts w:eastAsia="Times New Roman" w:cs="Calibri"/>
          <w:lang w:eastAsia="fr-FR"/>
        </w:rPr>
        <w:t>é</w:t>
      </w:r>
      <w:r w:rsidR="00CE3A55">
        <w:rPr>
          <w:rFonts w:eastAsia="Times New Roman" w:cs="Calibri"/>
          <w:lang w:eastAsia="fr-FR"/>
        </w:rPr>
        <w:t xml:space="preserve"> la Stratégie nationale bas-carbone (SNBC), prévoit de porter à 33% la part des énergies renouvelables dans la consommation d’énergie en 2030 et met en œuvre une programmation pluriannuelle de l’énergie (PPE) pour </w:t>
      </w:r>
      <w:r w:rsidR="00222A5C">
        <w:rPr>
          <w:rFonts w:eastAsia="Times New Roman" w:cs="Calibri"/>
          <w:lang w:eastAsia="fr-FR"/>
        </w:rPr>
        <w:t xml:space="preserve">développer les </w:t>
      </w:r>
      <w:r w:rsidR="00CE3A55">
        <w:rPr>
          <w:rFonts w:eastAsia="Times New Roman" w:cs="Calibri"/>
          <w:lang w:eastAsia="fr-FR"/>
        </w:rPr>
        <w:t>énergie</w:t>
      </w:r>
      <w:r w:rsidR="00222A5C">
        <w:rPr>
          <w:rFonts w:eastAsia="Times New Roman" w:cs="Calibri"/>
          <w:lang w:eastAsia="fr-FR"/>
        </w:rPr>
        <w:t>s</w:t>
      </w:r>
      <w:r w:rsidR="00CE3A55">
        <w:rPr>
          <w:rFonts w:eastAsia="Times New Roman" w:cs="Calibri"/>
          <w:lang w:eastAsia="fr-FR"/>
        </w:rPr>
        <w:t xml:space="preserve"> éolienne et photovoltaïque</w:t>
      </w:r>
      <w:r w:rsidR="00222A5C">
        <w:rPr>
          <w:rFonts w:eastAsia="Times New Roman" w:cs="Calibri"/>
          <w:lang w:eastAsia="fr-FR"/>
        </w:rPr>
        <w:t>, ainsi que</w:t>
      </w:r>
      <w:r w:rsidR="00CE3A55">
        <w:rPr>
          <w:rFonts w:eastAsia="Times New Roman" w:cs="Calibri"/>
          <w:lang w:eastAsia="fr-FR"/>
        </w:rPr>
        <w:t>, dans une moindre mesure, la méthanisation et la géothermie (cf. objectifs de la PPE en annexe).</w:t>
      </w:r>
      <w:r w:rsidR="00222A5C">
        <w:rPr>
          <w:rFonts w:eastAsia="Times New Roman" w:cs="Calibri"/>
          <w:lang w:eastAsia="fr-FR"/>
        </w:rPr>
        <w:t xml:space="preserve"> </w:t>
      </w:r>
      <w:r w:rsidR="0037046E">
        <w:rPr>
          <w:rFonts w:eastAsia="Times New Roman" w:cs="Calibri"/>
          <w:lang w:eastAsia="fr-FR"/>
        </w:rPr>
        <w:t>En janvier 2023, le projet de loi Energie renouvelables a fait apparaître que l</w:t>
      </w:r>
      <w:r w:rsidR="00222A5C">
        <w:rPr>
          <w:rFonts w:eastAsia="Times New Roman" w:cs="Calibri"/>
          <w:lang w:eastAsia="fr-FR"/>
        </w:rPr>
        <w:t>a France accus</w:t>
      </w:r>
      <w:r w:rsidR="0037046E">
        <w:rPr>
          <w:rFonts w:eastAsia="Times New Roman" w:cs="Calibri"/>
          <w:lang w:eastAsia="fr-FR"/>
        </w:rPr>
        <w:t>ait</w:t>
      </w:r>
      <w:r w:rsidR="00222A5C">
        <w:rPr>
          <w:rFonts w:eastAsia="Times New Roman" w:cs="Calibri"/>
          <w:lang w:eastAsia="fr-FR"/>
        </w:rPr>
        <w:t xml:space="preserve"> du retard dans sa transition énergétique.</w:t>
      </w:r>
    </w:p>
    <w:p w14:paraId="626D2C9C" w14:textId="77777777" w:rsidR="00534489" w:rsidRDefault="00534489">
      <w:pPr>
        <w:jc w:val="both"/>
        <w:rPr>
          <w:rFonts w:eastAsia="Times New Roman" w:cs="Calibri"/>
          <w:b/>
          <w:bCs/>
          <w:lang w:eastAsia="fr-FR"/>
        </w:rPr>
      </w:pPr>
    </w:p>
    <w:p w14:paraId="7FDDEFF5" w14:textId="4B499F32" w:rsidR="000E242B" w:rsidRPr="000E242B" w:rsidRDefault="000E242B">
      <w:pPr>
        <w:jc w:val="both"/>
        <w:rPr>
          <w:rFonts w:eastAsia="Times New Roman" w:cs="Calibri"/>
          <w:b/>
          <w:bCs/>
          <w:lang w:eastAsia="fr-FR"/>
        </w:rPr>
      </w:pPr>
      <w:r w:rsidRPr="000E242B">
        <w:rPr>
          <w:rFonts w:eastAsia="Times New Roman" w:cs="Calibri"/>
          <w:b/>
          <w:bCs/>
          <w:lang w:eastAsia="fr-FR"/>
        </w:rPr>
        <w:lastRenderedPageBreak/>
        <w:t>Enjeux pour l’agriculture</w:t>
      </w:r>
    </w:p>
    <w:p w14:paraId="5E307EA1" w14:textId="5F486217" w:rsidR="00557A7B" w:rsidRDefault="00E54C7F" w:rsidP="00E03A48">
      <w:pPr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 xml:space="preserve">Dans le secteur agricole, </w:t>
      </w:r>
      <w:r w:rsidR="00ED60A8" w:rsidRPr="001A6CA4">
        <w:rPr>
          <w:rFonts w:eastAsia="Times New Roman" w:cs="Calibri"/>
          <w:lang w:eastAsia="fr-FR"/>
        </w:rPr>
        <w:t>biocarburants</w:t>
      </w:r>
      <w:r>
        <w:rPr>
          <w:rFonts w:eastAsia="Times New Roman" w:cs="Calibri"/>
          <w:lang w:eastAsia="fr-FR"/>
        </w:rPr>
        <w:t xml:space="preserve"> et</w:t>
      </w:r>
      <w:r w:rsidR="00ED60A8" w:rsidRPr="001A6CA4">
        <w:rPr>
          <w:rFonts w:eastAsia="Times New Roman" w:cs="Calibri"/>
          <w:lang w:eastAsia="fr-FR"/>
        </w:rPr>
        <w:t xml:space="preserve"> méthanisation</w:t>
      </w:r>
      <w:r>
        <w:rPr>
          <w:rFonts w:eastAsia="Times New Roman" w:cs="Calibri"/>
          <w:lang w:eastAsia="fr-FR"/>
        </w:rPr>
        <w:t xml:space="preserve"> sont </w:t>
      </w:r>
      <w:r w:rsidR="00222A5C">
        <w:rPr>
          <w:rFonts w:eastAsia="Times New Roman" w:cs="Calibri"/>
          <w:lang w:eastAsia="fr-FR"/>
        </w:rPr>
        <w:t>d</w:t>
      </w:r>
      <w:r>
        <w:rPr>
          <w:rFonts w:eastAsia="Times New Roman" w:cs="Calibri"/>
          <w:lang w:eastAsia="fr-FR"/>
        </w:rPr>
        <w:t>es sources po</w:t>
      </w:r>
      <w:r w:rsidR="00222A5C">
        <w:rPr>
          <w:rFonts w:eastAsia="Times New Roman" w:cs="Calibri"/>
          <w:lang w:eastAsia="fr-FR"/>
        </w:rPr>
        <w:t>ssibles</w:t>
      </w:r>
      <w:r>
        <w:rPr>
          <w:rFonts w:eastAsia="Times New Roman" w:cs="Calibri"/>
          <w:lang w:eastAsia="fr-FR"/>
        </w:rPr>
        <w:t xml:space="preserve"> d’énergie</w:t>
      </w:r>
      <w:r w:rsidR="00FE3A6A">
        <w:rPr>
          <w:rFonts w:eastAsia="Times New Roman" w:cs="Calibri"/>
          <w:lang w:eastAsia="fr-FR"/>
        </w:rPr>
        <w:t>, sachant que</w:t>
      </w:r>
      <w:r w:rsidR="00B52827" w:rsidRPr="00B52827">
        <w:rPr>
          <w:rFonts w:eastAsia="Times New Roman" w:cs="Calibri"/>
          <w:lang w:eastAsia="fr-FR"/>
        </w:rPr>
        <w:t xml:space="preserve"> la production d’énergie agricole </w:t>
      </w:r>
      <w:r w:rsidR="00E71EE3">
        <w:rPr>
          <w:rFonts w:eastAsia="Times New Roman" w:cs="Calibri"/>
          <w:lang w:eastAsia="fr-FR"/>
        </w:rPr>
        <w:t>peut</w:t>
      </w:r>
      <w:r w:rsidR="00B52827" w:rsidRPr="00B52827">
        <w:rPr>
          <w:rFonts w:eastAsia="Times New Roman" w:cs="Calibri"/>
          <w:lang w:eastAsia="fr-FR"/>
        </w:rPr>
        <w:t xml:space="preserve"> concurrencer l’alimentation humaine, comme l’a rappelé le GIEC (groupe intergouvernemental d’experts du climat), notamment dans son rapport spécial sur le changement climatique et les terres émergées (2019).</w:t>
      </w:r>
    </w:p>
    <w:p w14:paraId="732E4E84" w14:textId="52853E9C" w:rsidR="00B37F16" w:rsidRDefault="00B37F16" w:rsidP="00E03A48">
      <w:pPr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>L’association SOLAGRO</w:t>
      </w:r>
      <w:r w:rsidR="00AD0BA1">
        <w:rPr>
          <w:rFonts w:eastAsia="Times New Roman" w:cs="Calibri"/>
          <w:lang w:eastAsia="fr-FR"/>
        </w:rPr>
        <w:t>, bureau d’études sur le thème des énergies renouvelable</w:t>
      </w:r>
      <w:r w:rsidR="00534489">
        <w:rPr>
          <w:rFonts w:eastAsia="Times New Roman" w:cs="Calibri"/>
          <w:lang w:eastAsia="fr-FR"/>
        </w:rPr>
        <w:t>s</w:t>
      </w:r>
      <w:r w:rsidR="00AD0BA1">
        <w:rPr>
          <w:rFonts w:eastAsia="Times New Roman" w:cs="Calibri"/>
          <w:lang w:eastAsia="fr-FR"/>
        </w:rPr>
        <w:t xml:space="preserve"> en agriculture, </w:t>
      </w:r>
      <w:r w:rsidR="00534489">
        <w:rPr>
          <w:rFonts w:eastAsia="Times New Roman" w:cs="Calibri"/>
          <w:lang w:eastAsia="fr-FR"/>
        </w:rPr>
        <w:t xml:space="preserve">proche de l’ADEME (Agence de l’Environnement et de la Maîtrise de l’Energie), </w:t>
      </w:r>
      <w:r>
        <w:rPr>
          <w:rFonts w:eastAsia="Times New Roman" w:cs="Calibri"/>
          <w:lang w:eastAsia="fr-FR"/>
        </w:rPr>
        <w:t>estime que la méthanisation est envisageable à grande échelle. En France on n</w:t>
      </w:r>
      <w:r w:rsidR="00914723">
        <w:rPr>
          <w:rFonts w:eastAsia="Times New Roman" w:cs="Calibri"/>
          <w:lang w:eastAsia="fr-FR"/>
        </w:rPr>
        <w:t>e</w:t>
      </w:r>
      <w:r>
        <w:rPr>
          <w:rFonts w:eastAsia="Times New Roman" w:cs="Calibri"/>
          <w:lang w:eastAsia="fr-FR"/>
        </w:rPr>
        <w:t xml:space="preserve"> compte actuellement que quelques centaines</w:t>
      </w:r>
      <w:r w:rsidR="00914723" w:rsidRPr="00914723">
        <w:rPr>
          <w:rFonts w:eastAsia="Times New Roman" w:cs="Calibri"/>
          <w:lang w:eastAsia="fr-FR"/>
        </w:rPr>
        <w:t xml:space="preserve"> </w:t>
      </w:r>
      <w:r w:rsidR="00914723">
        <w:rPr>
          <w:rFonts w:eastAsia="Times New Roman" w:cs="Calibri"/>
          <w:lang w:eastAsia="fr-FR"/>
        </w:rPr>
        <w:t>de méthaniseurs (9.000 en Allemagne)</w:t>
      </w:r>
      <w:r>
        <w:rPr>
          <w:rFonts w:eastAsia="Times New Roman" w:cs="Calibri"/>
          <w:lang w:eastAsia="fr-FR"/>
        </w:rPr>
        <w:t xml:space="preserve">. Selon SOLAGRO, la concurrence avec l’alimentation peut être évitée en </w:t>
      </w:r>
      <w:r w:rsidR="003D3225">
        <w:rPr>
          <w:rFonts w:eastAsia="Times New Roman" w:cs="Calibri"/>
          <w:lang w:eastAsia="fr-FR"/>
        </w:rPr>
        <w:t xml:space="preserve">approvisionnant les méthaniseurs </w:t>
      </w:r>
      <w:r w:rsidR="00534489">
        <w:rPr>
          <w:rFonts w:eastAsia="Times New Roman" w:cs="Calibri"/>
          <w:lang w:eastAsia="fr-FR"/>
        </w:rPr>
        <w:t xml:space="preserve">à partir </w:t>
      </w:r>
      <w:r w:rsidR="003D3225">
        <w:rPr>
          <w:rFonts w:eastAsia="Times New Roman" w:cs="Calibri"/>
          <w:lang w:eastAsia="fr-FR"/>
        </w:rPr>
        <w:t xml:space="preserve">de </w:t>
      </w:r>
      <w:r>
        <w:rPr>
          <w:rFonts w:eastAsia="Times New Roman" w:cs="Calibri"/>
          <w:lang w:eastAsia="fr-FR"/>
        </w:rPr>
        <w:t>cultures dérobées</w:t>
      </w:r>
      <w:r w:rsidR="00914723">
        <w:rPr>
          <w:rFonts w:eastAsia="Times New Roman" w:cs="Calibri"/>
          <w:lang w:eastAsia="fr-FR"/>
        </w:rPr>
        <w:t>,</w:t>
      </w:r>
      <w:r w:rsidR="00AD0BA1">
        <w:rPr>
          <w:rFonts w:eastAsia="Times New Roman" w:cs="Calibri"/>
          <w:lang w:eastAsia="fr-FR"/>
        </w:rPr>
        <w:t xml:space="preserve"> dites</w:t>
      </w:r>
      <w:r>
        <w:rPr>
          <w:rFonts w:eastAsia="Times New Roman" w:cs="Calibri"/>
          <w:lang w:eastAsia="fr-FR"/>
        </w:rPr>
        <w:t xml:space="preserve"> « CIVE » </w:t>
      </w:r>
      <w:r w:rsidR="00AD0BA1">
        <w:rPr>
          <w:rFonts w:eastAsia="Times New Roman" w:cs="Calibri"/>
          <w:lang w:eastAsia="fr-FR"/>
        </w:rPr>
        <w:t>(</w:t>
      </w:r>
      <w:r>
        <w:rPr>
          <w:rFonts w:eastAsia="Times New Roman" w:cs="Calibri"/>
          <w:lang w:eastAsia="fr-FR"/>
        </w:rPr>
        <w:t xml:space="preserve">cultures intermédiaires à valeur énergétique). </w:t>
      </w:r>
    </w:p>
    <w:p w14:paraId="7BE2B0FE" w14:textId="22865331" w:rsidR="00B37F16" w:rsidRPr="00B37F16" w:rsidRDefault="00B37F16" w:rsidP="00B37F16">
      <w:pPr>
        <w:jc w:val="both"/>
        <w:rPr>
          <w:rFonts w:asciiTheme="minorHAnsi" w:eastAsiaTheme="minorHAnsi" w:hAnsiTheme="minorHAnsi" w:cstheme="minorBidi"/>
        </w:rPr>
      </w:pPr>
      <w:r w:rsidRPr="00B37F16">
        <w:rPr>
          <w:rFonts w:eastAsia="Times New Roman" w:cs="Calibri"/>
          <w:lang w:eastAsia="fr-FR"/>
        </w:rPr>
        <w:t>Cependant</w:t>
      </w:r>
      <w:r>
        <w:rPr>
          <w:rFonts w:eastAsia="Times New Roman" w:cs="Calibri"/>
          <w:lang w:eastAsia="fr-FR"/>
        </w:rPr>
        <w:t>,</w:t>
      </w:r>
      <w:r w:rsidRPr="00B37F16">
        <w:rPr>
          <w:rFonts w:eastAsia="Times New Roman" w:cs="Calibri"/>
          <w:lang w:eastAsia="fr-FR"/>
        </w:rPr>
        <w:t xml:space="preserve"> </w:t>
      </w:r>
      <w:r w:rsidRPr="001A6CA4">
        <w:t xml:space="preserve">France Nature Environnement (FNE), la fédération nationale des organisations de protection de la nature et de l’environnement, observe que </w:t>
      </w:r>
      <w:r w:rsidRPr="00B37F16">
        <w:rPr>
          <w:rFonts w:asciiTheme="minorHAnsi" w:eastAsiaTheme="minorHAnsi" w:hAnsiTheme="minorHAnsi" w:cstheme="minorBidi"/>
        </w:rPr>
        <w:t>la méthanisation est un moyen d’accroître la production d’énergie alors que la priorité devrait être d</w:t>
      </w:r>
      <w:r w:rsidR="00AD0BA1">
        <w:rPr>
          <w:rFonts w:asciiTheme="minorHAnsi" w:eastAsiaTheme="minorHAnsi" w:hAnsiTheme="minorHAnsi" w:cstheme="minorBidi"/>
        </w:rPr>
        <w:t>e réduire sa consommation</w:t>
      </w:r>
      <w:r w:rsidRPr="00B37F16">
        <w:rPr>
          <w:rFonts w:asciiTheme="minorHAnsi" w:eastAsiaTheme="minorHAnsi" w:hAnsiTheme="minorHAnsi" w:cstheme="minorBidi"/>
        </w:rPr>
        <w:t>. FNE attire de surcroît l’attention sur les risques techniques (pollutions et sécurité) et socio-économiques (encouragement de l’agriculture productiviste) de la filière méthanisation.</w:t>
      </w:r>
      <w:r w:rsidRPr="001A6CA4">
        <w:t xml:space="preserve"> </w:t>
      </w:r>
    </w:p>
    <w:p w14:paraId="0F7856A7" w14:textId="6ABF4DD9" w:rsidR="00E54C7F" w:rsidRDefault="00782F93" w:rsidP="00E03A48">
      <w:pPr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>L</w:t>
      </w:r>
      <w:r w:rsidR="00914723">
        <w:rPr>
          <w:rFonts w:eastAsia="Times New Roman" w:cs="Calibri"/>
          <w:lang w:eastAsia="fr-FR"/>
        </w:rPr>
        <w:t>a recherche d’</w:t>
      </w:r>
      <w:r w:rsidR="0026719D">
        <w:rPr>
          <w:rFonts w:eastAsia="Times New Roman" w:cs="Calibri"/>
          <w:lang w:eastAsia="fr-FR"/>
        </w:rPr>
        <w:t>économie</w:t>
      </w:r>
      <w:r w:rsidR="008316C8">
        <w:rPr>
          <w:rFonts w:eastAsia="Times New Roman" w:cs="Calibri"/>
          <w:lang w:eastAsia="fr-FR"/>
        </w:rPr>
        <w:t>s</w:t>
      </w:r>
      <w:r w:rsidR="0026719D">
        <w:rPr>
          <w:rFonts w:eastAsia="Times New Roman" w:cs="Calibri"/>
          <w:lang w:eastAsia="fr-FR"/>
        </w:rPr>
        <w:t xml:space="preserve"> d’énergie et </w:t>
      </w:r>
      <w:r w:rsidR="00914723">
        <w:rPr>
          <w:rFonts w:eastAsia="Times New Roman" w:cs="Calibri"/>
          <w:lang w:eastAsia="fr-FR"/>
        </w:rPr>
        <w:t>de moyens de</w:t>
      </w:r>
      <w:r w:rsidR="0026719D">
        <w:rPr>
          <w:rFonts w:eastAsia="Times New Roman" w:cs="Calibri"/>
          <w:lang w:eastAsia="fr-FR"/>
        </w:rPr>
        <w:t xml:space="preserve"> séquestr</w:t>
      </w:r>
      <w:r w:rsidR="00914723">
        <w:rPr>
          <w:rFonts w:eastAsia="Times New Roman" w:cs="Calibri"/>
          <w:lang w:eastAsia="fr-FR"/>
        </w:rPr>
        <w:t>er le</w:t>
      </w:r>
      <w:r w:rsidR="0026719D">
        <w:rPr>
          <w:rFonts w:eastAsia="Times New Roman" w:cs="Calibri"/>
          <w:lang w:eastAsia="fr-FR"/>
        </w:rPr>
        <w:t xml:space="preserve"> carbone</w:t>
      </w:r>
      <w:r>
        <w:rPr>
          <w:rFonts w:eastAsia="Times New Roman" w:cs="Calibri"/>
          <w:lang w:eastAsia="fr-FR"/>
        </w:rPr>
        <w:t xml:space="preserve"> conduisent à interroger l</w:t>
      </w:r>
      <w:r w:rsidR="00B37F16">
        <w:rPr>
          <w:rFonts w:eastAsia="Times New Roman" w:cs="Calibri"/>
          <w:lang w:eastAsia="fr-FR"/>
        </w:rPr>
        <w:t xml:space="preserve">es modèles </w:t>
      </w:r>
      <w:r w:rsidR="00E54C7F">
        <w:rPr>
          <w:rFonts w:eastAsia="Times New Roman" w:cs="Calibri"/>
          <w:lang w:eastAsia="fr-FR"/>
        </w:rPr>
        <w:t>agricoles</w:t>
      </w:r>
      <w:r w:rsidR="008316C8">
        <w:rPr>
          <w:rFonts w:eastAsia="Times New Roman" w:cs="Calibri"/>
          <w:lang w:eastAsia="fr-FR"/>
        </w:rPr>
        <w:t>. L</w:t>
      </w:r>
      <w:r w:rsidR="00E54C7F">
        <w:rPr>
          <w:rFonts w:eastAsia="Times New Roman" w:cs="Calibri"/>
          <w:lang w:eastAsia="fr-FR"/>
        </w:rPr>
        <w:t>’agriculture industrielle, « productiviste »</w:t>
      </w:r>
      <w:r w:rsidR="008316C8">
        <w:rPr>
          <w:rFonts w:eastAsia="Times New Roman" w:cs="Calibri"/>
          <w:lang w:eastAsia="fr-FR"/>
        </w:rPr>
        <w:t>,</w:t>
      </w:r>
      <w:r w:rsidR="00E54C7F">
        <w:rPr>
          <w:rFonts w:eastAsia="Times New Roman" w:cs="Calibri"/>
          <w:lang w:eastAsia="fr-FR"/>
        </w:rPr>
        <w:t xml:space="preserve"> </w:t>
      </w:r>
      <w:r w:rsidR="008316C8">
        <w:rPr>
          <w:rFonts w:eastAsia="Times New Roman" w:cs="Calibri"/>
          <w:lang w:eastAsia="fr-FR"/>
        </w:rPr>
        <w:t xml:space="preserve">dominante, fruit des politiques agricoles encourageant </w:t>
      </w:r>
      <w:r>
        <w:rPr>
          <w:rFonts w:eastAsia="Times New Roman" w:cs="Calibri"/>
          <w:lang w:eastAsia="fr-FR"/>
        </w:rPr>
        <w:t xml:space="preserve">une forme </w:t>
      </w:r>
      <w:r w:rsidR="00534489">
        <w:rPr>
          <w:rFonts w:eastAsia="Times New Roman" w:cs="Calibri"/>
          <w:lang w:eastAsia="fr-FR"/>
        </w:rPr>
        <w:t>ancienn</w:t>
      </w:r>
      <w:r>
        <w:rPr>
          <w:rFonts w:eastAsia="Times New Roman" w:cs="Calibri"/>
          <w:lang w:eastAsia="fr-FR"/>
        </w:rPr>
        <w:t>e de</w:t>
      </w:r>
      <w:r w:rsidR="008316C8">
        <w:rPr>
          <w:rFonts w:eastAsia="Times New Roman" w:cs="Calibri"/>
          <w:lang w:eastAsia="fr-FR"/>
        </w:rPr>
        <w:t xml:space="preserve"> modernisation par l’investissement</w:t>
      </w:r>
      <w:r w:rsidR="00534489">
        <w:rPr>
          <w:rFonts w:eastAsia="Times New Roman" w:cs="Calibri"/>
          <w:lang w:eastAsia="fr-FR"/>
        </w:rPr>
        <w:t xml:space="preserve"> en capital</w:t>
      </w:r>
      <w:r w:rsidR="008316C8">
        <w:rPr>
          <w:rFonts w:eastAsia="Times New Roman" w:cs="Calibri"/>
          <w:lang w:eastAsia="fr-FR"/>
        </w:rPr>
        <w:t>, se voit opposer le</w:t>
      </w:r>
      <w:r w:rsidR="00E54C7F">
        <w:rPr>
          <w:rFonts w:eastAsia="Times New Roman" w:cs="Calibri"/>
          <w:lang w:eastAsia="fr-FR"/>
        </w:rPr>
        <w:t xml:space="preserve"> modèle </w:t>
      </w:r>
      <w:r w:rsidR="00B37F16">
        <w:rPr>
          <w:rFonts w:eastAsia="Times New Roman" w:cs="Calibri"/>
          <w:lang w:eastAsia="fr-FR"/>
        </w:rPr>
        <w:t>agro-écologique</w:t>
      </w:r>
      <w:r w:rsidR="00E54C7F">
        <w:rPr>
          <w:rFonts w:eastAsia="Times New Roman" w:cs="Calibri"/>
          <w:lang w:eastAsia="fr-FR"/>
        </w:rPr>
        <w:t xml:space="preserve">, « économe et autonome », </w:t>
      </w:r>
      <w:r w:rsidR="008316C8">
        <w:rPr>
          <w:rFonts w:eastAsia="Times New Roman" w:cs="Calibri"/>
          <w:lang w:eastAsia="fr-FR"/>
        </w:rPr>
        <w:t xml:space="preserve">préconisant </w:t>
      </w:r>
      <w:r>
        <w:rPr>
          <w:rFonts w:eastAsia="Times New Roman" w:cs="Calibri"/>
          <w:lang w:eastAsia="fr-FR"/>
        </w:rPr>
        <w:t xml:space="preserve">une meilleure intégration des activités agricoles, notamment </w:t>
      </w:r>
      <w:r w:rsidR="008316C8">
        <w:rPr>
          <w:rFonts w:eastAsia="Times New Roman" w:cs="Calibri"/>
          <w:lang w:eastAsia="fr-FR"/>
        </w:rPr>
        <w:t xml:space="preserve">un retour raisonné à </w:t>
      </w:r>
      <w:r w:rsidR="00E54C7F">
        <w:rPr>
          <w:rFonts w:eastAsia="Times New Roman" w:cs="Calibri"/>
          <w:lang w:eastAsia="fr-FR"/>
        </w:rPr>
        <w:t>la polyculture élevage</w:t>
      </w:r>
      <w:r w:rsidR="000E242B">
        <w:rPr>
          <w:rFonts w:eastAsia="Times New Roman" w:cs="Calibri"/>
          <w:lang w:eastAsia="fr-FR"/>
        </w:rPr>
        <w:t xml:space="preserve">. </w:t>
      </w:r>
    </w:p>
    <w:p w14:paraId="328C324B" w14:textId="70E45E55" w:rsidR="00534489" w:rsidRDefault="00534489" w:rsidP="00534489">
      <w:pPr>
        <w:jc w:val="both"/>
      </w:pPr>
      <w:r w:rsidRPr="00534489">
        <w:rPr>
          <w:rFonts w:eastAsia="Times New Roman" w:cs="Calibri"/>
          <w:lang w:eastAsia="fr-FR"/>
        </w:rPr>
        <w:t>D</w:t>
      </w:r>
      <w:r w:rsidRPr="00534489">
        <w:rPr>
          <w:rFonts w:eastAsia="Times New Roman" w:cs="Calibri"/>
          <w:lang w:eastAsia="fr-FR"/>
        </w:rPr>
        <w:t>eux exercices de prospective</w:t>
      </w:r>
      <w:r w:rsidRPr="00534489">
        <w:rPr>
          <w:rFonts w:eastAsia="Times New Roman" w:cs="Calibri"/>
          <w:lang w:eastAsia="fr-FR"/>
        </w:rPr>
        <w:t xml:space="preserve"> français, </w:t>
      </w:r>
      <w:r w:rsidRPr="00534489">
        <w:rPr>
          <w:rFonts w:eastAsia="Times New Roman" w:cs="Calibri"/>
          <w:lang w:eastAsia="fr-FR"/>
        </w:rPr>
        <w:t>celui de SOLAGRO intitulé « Afterres 2050 » et celui de l’IDDRI (Institut du Développement Durable et des Relations Internationales), intitulé « </w:t>
      </w:r>
      <w:r w:rsidRPr="00534489">
        <w:rPr>
          <w:rFonts w:eastAsia="Times New Roman" w:cs="Calibri"/>
          <w:i/>
          <w:iCs/>
          <w:lang w:eastAsia="fr-FR"/>
        </w:rPr>
        <w:t>Ten Years For</w:t>
      </w:r>
      <w:r w:rsidRPr="00534489">
        <w:rPr>
          <w:rFonts w:eastAsia="Times New Roman" w:cs="Calibri"/>
          <w:lang w:eastAsia="fr-FR"/>
        </w:rPr>
        <w:t xml:space="preserve"> Agroecology</w:t>
      </w:r>
      <w:r w:rsidR="00BA24EF">
        <w:rPr>
          <w:rFonts w:eastAsia="Times New Roman" w:cs="Calibri"/>
          <w:lang w:eastAsia="fr-FR"/>
        </w:rPr>
        <w:t> »</w:t>
      </w:r>
      <w:r w:rsidRPr="00534489">
        <w:rPr>
          <w:rFonts w:eastAsia="Times New Roman" w:cs="Calibri"/>
          <w:lang w:eastAsia="fr-FR"/>
        </w:rPr>
        <w:t>, ou TYFA</w:t>
      </w:r>
      <w:r w:rsidR="00BA24EF">
        <w:rPr>
          <w:rFonts w:eastAsia="Times New Roman" w:cs="Calibri"/>
          <w:lang w:eastAsia="fr-FR"/>
        </w:rPr>
        <w:t>,</w:t>
      </w:r>
      <w:r w:rsidRPr="00534489">
        <w:rPr>
          <w:rFonts w:eastAsia="Times New Roman" w:cs="Calibri"/>
          <w:lang w:eastAsia="fr-FR"/>
        </w:rPr>
        <w:t xml:space="preserve"> </w:t>
      </w:r>
      <w:r>
        <w:t>s’intéresse</w:t>
      </w:r>
      <w:r>
        <w:t>nt</w:t>
      </w:r>
      <w:r>
        <w:t xml:space="preserve"> à </w:t>
      </w:r>
      <w:r w:rsidRPr="00534489">
        <w:rPr>
          <w:rFonts w:asciiTheme="minorHAnsi" w:eastAsiaTheme="minorHAnsi" w:hAnsiTheme="minorHAnsi" w:cstheme="minorBidi"/>
        </w:rPr>
        <w:t xml:space="preserve">la souveraineté alimentaire européenne et à la </w:t>
      </w:r>
      <w:r w:rsidRPr="00534489">
        <w:rPr>
          <w:rFonts w:asciiTheme="minorHAnsi" w:eastAsiaTheme="minorHAnsi" w:hAnsiTheme="minorHAnsi" w:cstheme="minorBidi"/>
        </w:rPr>
        <w:t>faisabilité</w:t>
      </w:r>
      <w:r w:rsidRPr="00534489">
        <w:rPr>
          <w:rFonts w:asciiTheme="minorHAnsi" w:eastAsiaTheme="minorHAnsi" w:hAnsiTheme="minorHAnsi" w:cstheme="minorBidi"/>
        </w:rPr>
        <w:t xml:space="preserve"> de la stratégie « </w:t>
      </w:r>
      <w:r w:rsidRPr="00534489">
        <w:rPr>
          <w:rFonts w:asciiTheme="minorHAnsi" w:eastAsiaTheme="minorHAnsi" w:hAnsiTheme="minorHAnsi" w:cstheme="minorBidi"/>
          <w:i/>
          <w:iCs/>
        </w:rPr>
        <w:t>Farm to Fork</w:t>
      </w:r>
      <w:r w:rsidRPr="00534489">
        <w:rPr>
          <w:rFonts w:asciiTheme="minorHAnsi" w:eastAsiaTheme="minorHAnsi" w:hAnsiTheme="minorHAnsi" w:cstheme="minorBidi"/>
        </w:rPr>
        <w:t> » de la Commission</w:t>
      </w:r>
      <w:r w:rsidRPr="00534489">
        <w:rPr>
          <w:rFonts w:asciiTheme="minorHAnsi" w:eastAsiaTheme="minorHAnsi" w:hAnsiTheme="minorHAnsi" w:cstheme="minorBidi"/>
        </w:rPr>
        <w:t xml:space="preserve">. Tous deux préconisent </w:t>
      </w:r>
      <w:r w:rsidRPr="00534489">
        <w:rPr>
          <w:rFonts w:asciiTheme="minorHAnsi" w:eastAsiaTheme="minorHAnsi" w:hAnsiTheme="minorHAnsi" w:cstheme="minorBidi"/>
        </w:rPr>
        <w:t>la réduction de la consommation de viande</w:t>
      </w:r>
      <w:r w:rsidRPr="00534489">
        <w:rPr>
          <w:rFonts w:asciiTheme="minorHAnsi" w:eastAsiaTheme="minorHAnsi" w:hAnsiTheme="minorHAnsi" w:cstheme="minorBidi"/>
        </w:rPr>
        <w:t xml:space="preserve">. </w:t>
      </w:r>
      <w:r>
        <w:t>TYFA</w:t>
      </w:r>
      <w:r w:rsidRPr="00534489">
        <w:rPr>
          <w:rFonts w:asciiTheme="minorHAnsi" w:eastAsiaTheme="minorHAnsi" w:hAnsiTheme="minorHAnsi" w:cstheme="minorBidi"/>
        </w:rPr>
        <w:t xml:space="preserve"> met en cause l’accès au marché européen sans droit de douane du soja provenant notamment des zones de forêt tropicale. </w:t>
      </w:r>
      <w:r w:rsidR="00BA24EF">
        <w:rPr>
          <w:rFonts w:asciiTheme="minorHAnsi" w:eastAsiaTheme="minorHAnsi" w:hAnsiTheme="minorHAnsi" w:cstheme="minorBidi"/>
        </w:rPr>
        <w:t xml:space="preserve">Pour </w:t>
      </w:r>
      <w:r w:rsidRPr="008618AC">
        <w:rPr>
          <w:rFonts w:eastAsia="Times New Roman" w:cs="Calibri"/>
          <w:lang w:eastAsia="fr-FR"/>
        </w:rPr>
        <w:t>Afterres</w:t>
      </w:r>
      <w:r w:rsidR="00BA24EF">
        <w:rPr>
          <w:rFonts w:eastAsia="Times New Roman" w:cs="Calibri"/>
          <w:lang w:eastAsia="fr-FR"/>
        </w:rPr>
        <w:t>,</w:t>
      </w:r>
      <w:r w:rsidRPr="000910F7">
        <w:t xml:space="preserve"> l</w:t>
      </w:r>
      <w:r w:rsidR="00BA24EF">
        <w:t>e surplus de fourrages résultant de l</w:t>
      </w:r>
      <w:r w:rsidRPr="000910F7">
        <w:t xml:space="preserve">a diminution de l’élevage </w:t>
      </w:r>
      <w:r w:rsidR="00BA24EF">
        <w:t>renforcera la capacité de développe</w:t>
      </w:r>
      <w:r w:rsidR="00322130">
        <w:t>r</w:t>
      </w:r>
      <w:r w:rsidR="00BA24EF">
        <w:t xml:space="preserve"> la </w:t>
      </w:r>
      <w:r w:rsidRPr="000910F7">
        <w:t>méthanisatio</w:t>
      </w:r>
      <w:r>
        <w:t xml:space="preserve">n. </w:t>
      </w:r>
    </w:p>
    <w:p w14:paraId="7C13963F" w14:textId="77777777" w:rsidR="00914723" w:rsidRDefault="00914723" w:rsidP="00914723">
      <w:pPr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 xml:space="preserve">Plus futuristes et </w:t>
      </w:r>
      <w:r w:rsidRPr="001A6CA4">
        <w:rPr>
          <w:rFonts w:eastAsia="Times New Roman" w:cs="Calibri"/>
          <w:lang w:eastAsia="fr-FR"/>
        </w:rPr>
        <w:t>plus coûteux</w:t>
      </w:r>
      <w:r>
        <w:rPr>
          <w:rFonts w:eastAsia="Times New Roman" w:cs="Calibri"/>
          <w:lang w:eastAsia="fr-FR"/>
        </w:rPr>
        <w:t>, l</w:t>
      </w:r>
      <w:r w:rsidRPr="001A6CA4">
        <w:rPr>
          <w:rFonts w:eastAsia="Times New Roman" w:cs="Calibri"/>
          <w:lang w:eastAsia="fr-FR"/>
        </w:rPr>
        <w:t xml:space="preserve">es </w:t>
      </w:r>
      <w:r>
        <w:rPr>
          <w:rFonts w:eastAsia="Times New Roman" w:cs="Calibri"/>
          <w:lang w:eastAsia="fr-FR"/>
        </w:rPr>
        <w:t>processus</w:t>
      </w:r>
      <w:r w:rsidRPr="001A6CA4">
        <w:rPr>
          <w:rFonts w:eastAsia="Times New Roman" w:cs="Calibri"/>
          <w:lang w:eastAsia="fr-FR"/>
        </w:rPr>
        <w:t xml:space="preserve"> BECCS (</w:t>
      </w:r>
      <w:r w:rsidRPr="001A6CA4">
        <w:rPr>
          <w:rFonts w:eastAsia="Times New Roman" w:cs="Calibri"/>
          <w:i/>
          <w:iCs/>
          <w:lang w:eastAsia="fr-FR"/>
        </w:rPr>
        <w:t>Bioenergy with carbon capture &amp; storage</w:t>
      </w:r>
      <w:r w:rsidRPr="001A6CA4">
        <w:rPr>
          <w:rFonts w:eastAsia="Times New Roman" w:cs="Calibri"/>
          <w:lang w:eastAsia="fr-FR"/>
        </w:rPr>
        <w:t>)</w:t>
      </w:r>
      <w:r>
        <w:rPr>
          <w:rFonts w:eastAsia="Times New Roman" w:cs="Calibri"/>
          <w:lang w:eastAsia="fr-FR"/>
        </w:rPr>
        <w:t>,</w:t>
      </w:r>
      <w:r w:rsidRPr="001A6CA4">
        <w:rPr>
          <w:rFonts w:eastAsia="Times New Roman" w:cs="Calibri"/>
          <w:lang w:eastAsia="fr-FR"/>
        </w:rPr>
        <w:t xml:space="preserve"> </w:t>
      </w:r>
      <w:r>
        <w:rPr>
          <w:rFonts w:eastAsia="Times New Roman" w:cs="Calibri"/>
          <w:lang w:eastAsia="fr-FR"/>
        </w:rPr>
        <w:t xml:space="preserve">sont étudiés en vue d’une séquestration géologique du carbone, plus durable que la séquestration végétale. </w:t>
      </w:r>
    </w:p>
    <w:p w14:paraId="61ACD6B0" w14:textId="77777777" w:rsidR="008316C8" w:rsidRPr="008618AC" w:rsidRDefault="00E54C7F" w:rsidP="00E03A48">
      <w:pPr>
        <w:jc w:val="both"/>
        <w:rPr>
          <w:rFonts w:eastAsia="Times New Roman" w:cs="Calibri"/>
          <w:b/>
          <w:bCs/>
          <w:lang w:eastAsia="fr-FR"/>
        </w:rPr>
      </w:pPr>
      <w:r w:rsidRPr="008618AC">
        <w:rPr>
          <w:rFonts w:eastAsia="Times New Roman" w:cs="Calibri"/>
          <w:b/>
          <w:bCs/>
          <w:lang w:eastAsia="fr-FR"/>
        </w:rPr>
        <w:t>Prospective</w:t>
      </w:r>
      <w:r w:rsidR="008316C8" w:rsidRPr="008618AC">
        <w:rPr>
          <w:rFonts w:eastAsia="Times New Roman" w:cs="Calibri"/>
          <w:b/>
          <w:bCs/>
          <w:lang w:eastAsia="fr-FR"/>
        </w:rPr>
        <w:t>s</w:t>
      </w:r>
    </w:p>
    <w:p w14:paraId="40BB4A43" w14:textId="77777777" w:rsidR="00E54C7F" w:rsidRPr="00830677" w:rsidRDefault="00E54C7F" w:rsidP="00896A42">
      <w:pPr>
        <w:spacing w:line="251" w:lineRule="auto"/>
        <w:jc w:val="both"/>
        <w:rPr>
          <w:rFonts w:eastAsia="Times New Roman" w:cs="Calibri"/>
          <w:b/>
          <w:bCs/>
          <w:lang w:eastAsia="fr-FR"/>
        </w:rPr>
      </w:pPr>
      <w:r w:rsidRPr="00830677">
        <w:rPr>
          <w:rFonts w:eastAsia="Times New Roman" w:cs="Calibri"/>
          <w:b/>
          <w:bCs/>
          <w:lang w:eastAsia="fr-FR"/>
        </w:rPr>
        <w:t>Questions pour le débat</w:t>
      </w:r>
    </w:p>
    <w:p w14:paraId="7E55E98C" w14:textId="6504B439" w:rsidR="00850CDD" w:rsidRDefault="00850CDD" w:rsidP="00A15D7D">
      <w:pPr>
        <w:pStyle w:val="Paragraphedeliste1"/>
        <w:numPr>
          <w:ilvl w:val="0"/>
          <w:numId w:val="8"/>
        </w:numPr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 xml:space="preserve">Quels sont les </w:t>
      </w:r>
      <w:r w:rsidR="00914723">
        <w:rPr>
          <w:rFonts w:eastAsia="Times New Roman" w:cs="Calibri"/>
          <w:lang w:eastAsia="fr-FR"/>
        </w:rPr>
        <w:t>facteurs</w:t>
      </w:r>
      <w:r w:rsidR="00BA24EF">
        <w:rPr>
          <w:rFonts w:eastAsia="Times New Roman" w:cs="Calibri"/>
          <w:lang w:eastAsia="fr-FR"/>
        </w:rPr>
        <w:t xml:space="preserve"> clé</w:t>
      </w:r>
      <w:r w:rsidR="00914723">
        <w:rPr>
          <w:rFonts w:eastAsia="Times New Roman" w:cs="Calibri"/>
          <w:lang w:eastAsia="fr-FR"/>
        </w:rPr>
        <w:t xml:space="preserve"> de la place </w:t>
      </w:r>
      <w:r>
        <w:rPr>
          <w:rFonts w:eastAsia="Times New Roman" w:cs="Calibri"/>
          <w:lang w:eastAsia="fr-FR"/>
        </w:rPr>
        <w:t xml:space="preserve">de l’agriculture </w:t>
      </w:r>
      <w:r w:rsidR="00914723">
        <w:rPr>
          <w:rFonts w:eastAsia="Times New Roman" w:cs="Calibri"/>
          <w:lang w:eastAsia="fr-FR"/>
        </w:rPr>
        <w:t xml:space="preserve">dans le </w:t>
      </w:r>
      <w:r>
        <w:rPr>
          <w:rFonts w:eastAsia="Times New Roman" w:cs="Calibri"/>
          <w:lang w:eastAsia="fr-FR"/>
        </w:rPr>
        <w:t>mix énergétique ? Production d’énergie ? Fixation d</w:t>
      </w:r>
      <w:r w:rsidR="00914723">
        <w:rPr>
          <w:rFonts w:eastAsia="Times New Roman" w:cs="Calibri"/>
          <w:lang w:eastAsia="fr-FR"/>
        </w:rPr>
        <w:t>u</w:t>
      </w:r>
      <w:r>
        <w:rPr>
          <w:rFonts w:eastAsia="Times New Roman" w:cs="Calibri"/>
          <w:lang w:eastAsia="fr-FR"/>
        </w:rPr>
        <w:t xml:space="preserve"> carbone atmosphérique ? Réduction des émissions ? </w:t>
      </w:r>
    </w:p>
    <w:p w14:paraId="7A0E1992" w14:textId="10CBD6EF" w:rsidR="00850CDD" w:rsidRPr="00AC0844" w:rsidRDefault="00850CDD" w:rsidP="00BA24EF">
      <w:pPr>
        <w:pStyle w:val="Paragraphedeliste1"/>
        <w:numPr>
          <w:ilvl w:val="0"/>
          <w:numId w:val="11"/>
        </w:numPr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 xml:space="preserve">Pour décourager les émissions, faut-il fixer le prix de l’énergie au coût de la capture du CO2 atmosphérique ? </w:t>
      </w:r>
    </w:p>
    <w:p w14:paraId="47EF4E70" w14:textId="10BB8FD5" w:rsidR="00830677" w:rsidRPr="00850CDD" w:rsidRDefault="00850CDD" w:rsidP="00850CDD">
      <w:pPr>
        <w:pStyle w:val="Paragraphedeliste1"/>
        <w:numPr>
          <w:ilvl w:val="0"/>
          <w:numId w:val="8"/>
        </w:numPr>
        <w:jc w:val="both"/>
        <w:rPr>
          <w:rFonts w:eastAsia="Times New Roman" w:cs="Calibri"/>
          <w:lang w:eastAsia="fr-FR"/>
        </w:rPr>
      </w:pPr>
      <w:r w:rsidRPr="00850CDD">
        <w:rPr>
          <w:rFonts w:eastAsia="Times New Roman" w:cs="Calibri"/>
          <w:lang w:eastAsia="fr-FR"/>
        </w:rPr>
        <w:t>Quelle</w:t>
      </w:r>
      <w:r w:rsidR="00914723">
        <w:rPr>
          <w:rFonts w:eastAsia="Times New Roman" w:cs="Calibri"/>
          <w:lang w:eastAsia="fr-FR"/>
        </w:rPr>
        <w:t xml:space="preserve"> est la</w:t>
      </w:r>
      <w:r w:rsidRPr="00850CDD">
        <w:rPr>
          <w:rFonts w:eastAsia="Times New Roman" w:cs="Calibri"/>
          <w:lang w:eastAsia="fr-FR"/>
        </w:rPr>
        <w:t xml:space="preserve"> capacité des différents modèles agricoles </w:t>
      </w:r>
      <w:r w:rsidR="00914723">
        <w:rPr>
          <w:rFonts w:eastAsia="Times New Roman" w:cs="Calibri"/>
          <w:lang w:eastAsia="fr-FR"/>
        </w:rPr>
        <w:t xml:space="preserve">(productiviste, agro-écologique …) </w:t>
      </w:r>
      <w:r w:rsidRPr="00850CDD">
        <w:rPr>
          <w:rFonts w:eastAsia="Times New Roman" w:cs="Calibri"/>
          <w:lang w:eastAsia="fr-FR"/>
        </w:rPr>
        <w:t xml:space="preserve">à contribuer de manière durable au mix énergétique voulu ? </w:t>
      </w:r>
    </w:p>
    <w:p w14:paraId="42655354" w14:textId="04BFECFF" w:rsidR="0059312C" w:rsidRPr="001A6CA4" w:rsidRDefault="00B82C1D" w:rsidP="00A4164F">
      <w:pPr>
        <w:pStyle w:val="Paragraphedeliste1"/>
        <w:numPr>
          <w:ilvl w:val="0"/>
          <w:numId w:val="8"/>
        </w:numPr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>Quel rôle pour les ingénieurs agros</w:t>
      </w:r>
      <w:r w:rsidR="00914723">
        <w:rPr>
          <w:rFonts w:eastAsia="Times New Roman" w:cs="Calibri"/>
          <w:lang w:eastAsia="fr-FR"/>
        </w:rPr>
        <w:t xml:space="preserve"> (</w:t>
      </w:r>
      <w:r w:rsidR="00AA157E">
        <w:rPr>
          <w:rFonts w:eastAsia="Times New Roman" w:cs="Calibri"/>
          <w:lang w:eastAsia="fr-FR"/>
        </w:rPr>
        <w:t>conception des politiques publiques</w:t>
      </w:r>
      <w:r w:rsidR="00F769BF">
        <w:rPr>
          <w:rFonts w:eastAsia="Times New Roman" w:cs="Calibri"/>
          <w:lang w:eastAsia="fr-FR"/>
        </w:rPr>
        <w:t>, recherche-développement</w:t>
      </w:r>
      <w:r w:rsidR="00B87480">
        <w:rPr>
          <w:rFonts w:eastAsia="Times New Roman" w:cs="Calibri"/>
          <w:lang w:eastAsia="fr-FR"/>
        </w:rPr>
        <w:t xml:space="preserve">, </w:t>
      </w:r>
      <w:r w:rsidR="00F769BF">
        <w:rPr>
          <w:rFonts w:eastAsia="Times New Roman" w:cs="Calibri"/>
          <w:lang w:eastAsia="fr-FR"/>
        </w:rPr>
        <w:t>formation et éducation de l’opinion</w:t>
      </w:r>
      <w:r w:rsidR="00914723">
        <w:rPr>
          <w:rFonts w:eastAsia="Times New Roman" w:cs="Calibri"/>
          <w:lang w:eastAsia="fr-FR"/>
        </w:rPr>
        <w:t xml:space="preserve"> …)</w:t>
      </w:r>
      <w:r>
        <w:rPr>
          <w:rFonts w:eastAsia="Times New Roman" w:cs="Calibri"/>
          <w:lang w:eastAsia="fr-FR"/>
        </w:rPr>
        <w:t xml:space="preserve"> </w:t>
      </w:r>
      <w:r w:rsidR="00BA24EF">
        <w:rPr>
          <w:rFonts w:eastAsia="Times New Roman" w:cs="Calibri"/>
          <w:lang w:eastAsia="fr-FR"/>
        </w:rPr>
        <w:t>et q</w:t>
      </w:r>
      <w:r w:rsidR="00914723">
        <w:rPr>
          <w:rFonts w:eastAsia="Times New Roman" w:cs="Calibri"/>
          <w:lang w:eastAsia="fr-FR"/>
        </w:rPr>
        <w:t xml:space="preserve">uelles implications pour l’enseignement? (enseignement </w:t>
      </w:r>
      <w:r w:rsidR="00CD02ED">
        <w:rPr>
          <w:rFonts w:eastAsia="Times New Roman" w:cs="Calibri"/>
          <w:lang w:eastAsia="fr-FR"/>
        </w:rPr>
        <w:t xml:space="preserve">général, enseignement </w:t>
      </w:r>
      <w:r w:rsidR="00914723">
        <w:rPr>
          <w:rFonts w:eastAsia="Times New Roman" w:cs="Calibri"/>
          <w:lang w:eastAsia="fr-FR"/>
        </w:rPr>
        <w:t>agricole, l’enseignement supérieur agronomique</w:t>
      </w:r>
      <w:r w:rsidR="00CD02ED">
        <w:rPr>
          <w:rFonts w:eastAsia="Times New Roman" w:cs="Calibri"/>
          <w:lang w:eastAsia="fr-FR"/>
        </w:rPr>
        <w:t xml:space="preserve"> …)</w:t>
      </w:r>
      <w:r w:rsidR="0059312C" w:rsidRPr="001A6CA4">
        <w:rPr>
          <w:rFonts w:eastAsia="Times New Roman" w:cs="Calibri"/>
          <w:lang w:eastAsia="fr-FR"/>
        </w:rPr>
        <w:br w:type="page"/>
      </w:r>
    </w:p>
    <w:p w14:paraId="0123233F" w14:textId="77777777" w:rsidR="00061F02" w:rsidRPr="001A6CA4" w:rsidRDefault="00061F02" w:rsidP="002F5919">
      <w:pPr>
        <w:jc w:val="center"/>
        <w:rPr>
          <w:rFonts w:ascii="Times New Roman" w:eastAsia="Times New Roman" w:hAnsi="Times New Roman"/>
          <w:b/>
          <w:bCs/>
          <w:sz w:val="21"/>
          <w:szCs w:val="21"/>
          <w:lang w:eastAsia="fr-FR"/>
        </w:rPr>
        <w:sectPr w:rsidR="00061F02" w:rsidRPr="001A6CA4">
          <w:footerReference w:type="default" r:id="rId9"/>
          <w:pgSz w:w="11906" w:h="16838"/>
          <w:pgMar w:top="1417" w:right="1417" w:bottom="1417" w:left="1417" w:header="720" w:footer="720" w:gutter="0"/>
          <w:cols w:space="720"/>
        </w:sectPr>
      </w:pPr>
    </w:p>
    <w:p w14:paraId="0356D296" w14:textId="4BB428F7" w:rsidR="003B179B" w:rsidRPr="001A6CA4" w:rsidRDefault="00973802" w:rsidP="002F5919">
      <w:pPr>
        <w:jc w:val="center"/>
        <w:rPr>
          <w:rFonts w:ascii="Times New Roman" w:eastAsia="Times New Roman" w:hAnsi="Times New Roman"/>
          <w:b/>
          <w:bCs/>
          <w:sz w:val="21"/>
          <w:szCs w:val="21"/>
          <w:lang w:eastAsia="fr-FR"/>
        </w:rPr>
      </w:pPr>
      <w:r w:rsidRPr="001A6CA4">
        <w:rPr>
          <w:rFonts w:ascii="Times New Roman" w:eastAsia="Times New Roman" w:hAnsi="Times New Roman"/>
          <w:b/>
          <w:bCs/>
          <w:sz w:val="21"/>
          <w:szCs w:val="21"/>
          <w:lang w:eastAsia="fr-FR"/>
        </w:rPr>
        <w:lastRenderedPageBreak/>
        <w:t xml:space="preserve">Graphique 1 : </w:t>
      </w:r>
      <w:r w:rsidR="00957BF0" w:rsidRPr="001A6CA4">
        <w:rPr>
          <w:rFonts w:ascii="Times New Roman" w:eastAsia="Times New Roman" w:hAnsi="Times New Roman"/>
          <w:b/>
          <w:bCs/>
          <w:sz w:val="21"/>
          <w:szCs w:val="21"/>
          <w:lang w:eastAsia="fr-FR"/>
        </w:rPr>
        <w:t>principales énergies consommées dans le monde</w:t>
      </w:r>
    </w:p>
    <w:p w14:paraId="3B70D062" w14:textId="69C8D94B" w:rsidR="00957BF0" w:rsidRPr="001A6CA4" w:rsidRDefault="002F5919" w:rsidP="002F5919">
      <w:pPr>
        <w:jc w:val="center"/>
        <w:rPr>
          <w:rFonts w:eastAsia="Times New Roman" w:cs="Calibri"/>
          <w:lang w:eastAsia="fr-FR"/>
        </w:rPr>
      </w:pPr>
      <w:r w:rsidRPr="001A6CA4">
        <w:rPr>
          <w:rFonts w:ascii="Times New Roman" w:eastAsia="Times New Roman" w:hAnsi="Times New Roman"/>
          <w:noProof/>
          <w:sz w:val="21"/>
          <w:szCs w:val="21"/>
          <w:lang w:eastAsia="fr-FR"/>
        </w:rPr>
        <w:drawing>
          <wp:inline distT="0" distB="0" distL="0" distR="0" wp14:anchorId="5944FAB2" wp14:editId="5DDF7545">
            <wp:extent cx="3351958" cy="2229889"/>
            <wp:effectExtent l="0" t="0" r="1270" b="0"/>
            <wp:docPr id="1" name="Picture 1" descr="Diagram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66" cy="225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520F5" w14:textId="77777777" w:rsidR="00CD02ED" w:rsidRDefault="00CD02ED" w:rsidP="001D122E">
      <w:pPr>
        <w:shd w:val="clear" w:color="auto" w:fill="FFFFFF"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fr-FR"/>
        </w:rPr>
      </w:pPr>
    </w:p>
    <w:p w14:paraId="07427CEA" w14:textId="77777777" w:rsidR="00CD02ED" w:rsidRDefault="00CD02ED" w:rsidP="001D122E">
      <w:pPr>
        <w:shd w:val="clear" w:color="auto" w:fill="FFFFFF"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fr-FR"/>
        </w:rPr>
      </w:pPr>
    </w:p>
    <w:p w14:paraId="6CF34196" w14:textId="7BFBD5B5" w:rsidR="001D122E" w:rsidRPr="001A6CA4" w:rsidRDefault="00973802" w:rsidP="001D122E">
      <w:pPr>
        <w:shd w:val="clear" w:color="auto" w:fill="FFFFFF"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fr-FR"/>
        </w:rPr>
      </w:pPr>
      <w:r w:rsidRPr="001A6CA4">
        <w:rPr>
          <w:rFonts w:ascii="Times New Roman" w:eastAsia="Times New Roman" w:hAnsi="Times New Roman"/>
          <w:b/>
          <w:bCs/>
          <w:sz w:val="21"/>
          <w:szCs w:val="21"/>
          <w:lang w:eastAsia="fr-FR"/>
        </w:rPr>
        <w:t xml:space="preserve">Graphique 2 : </w:t>
      </w:r>
      <w:r w:rsidR="001D122E" w:rsidRPr="001A6CA4">
        <w:rPr>
          <w:rFonts w:ascii="Times New Roman" w:eastAsia="Times New Roman" w:hAnsi="Times New Roman"/>
          <w:b/>
          <w:bCs/>
          <w:sz w:val="21"/>
          <w:szCs w:val="21"/>
          <w:lang w:eastAsia="fr-FR"/>
        </w:rPr>
        <w:t xml:space="preserve">principales énergies consommées en </w:t>
      </w:r>
      <w:r w:rsidR="0082412E" w:rsidRPr="001A6CA4">
        <w:rPr>
          <w:rFonts w:ascii="Times New Roman" w:eastAsia="Times New Roman" w:hAnsi="Times New Roman"/>
          <w:b/>
          <w:bCs/>
          <w:sz w:val="21"/>
          <w:szCs w:val="21"/>
          <w:lang w:eastAsia="fr-FR"/>
        </w:rPr>
        <w:t>France</w:t>
      </w:r>
    </w:p>
    <w:p w14:paraId="25F49DFA" w14:textId="77777777" w:rsidR="0082412E" w:rsidRPr="001A6CA4" w:rsidRDefault="0082412E" w:rsidP="001D122E">
      <w:pPr>
        <w:shd w:val="clear" w:color="auto" w:fill="FFFFFF"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fr-FR"/>
        </w:rPr>
      </w:pPr>
    </w:p>
    <w:p w14:paraId="13723D65" w14:textId="0FE0F1B4" w:rsidR="0032466F" w:rsidRPr="001A6CA4" w:rsidRDefault="0082412E" w:rsidP="0082412E">
      <w:pPr>
        <w:jc w:val="center"/>
        <w:rPr>
          <w:rFonts w:eastAsia="Times New Roman" w:cs="Calibri"/>
          <w:lang w:eastAsia="fr-FR"/>
        </w:rPr>
      </w:pPr>
      <w:r w:rsidRPr="001A6CA4">
        <w:rPr>
          <w:rFonts w:ascii="Times New Roman" w:eastAsia="Times New Roman" w:hAnsi="Times New Roman"/>
          <w:noProof/>
          <w:sz w:val="21"/>
          <w:szCs w:val="21"/>
          <w:lang w:eastAsia="fr-FR"/>
        </w:rPr>
        <w:drawing>
          <wp:inline distT="0" distB="0" distL="0" distR="0" wp14:anchorId="43A549E7" wp14:editId="2CE9D7E4">
            <wp:extent cx="3590925" cy="2468761"/>
            <wp:effectExtent l="0" t="0" r="0" b="8255"/>
            <wp:docPr id="2" name="Picture 2" descr="Chart, sunburst chart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unburst chart&#10;&#10;Description automatically generate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512" cy="247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E257D" w14:textId="77777777" w:rsidR="00CD02ED" w:rsidRDefault="00CD02ED" w:rsidP="00AF0FF8">
      <w:pPr>
        <w:shd w:val="clear" w:color="auto" w:fill="FFFFFF"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fr-FR"/>
        </w:rPr>
      </w:pPr>
    </w:p>
    <w:p w14:paraId="4E2852C3" w14:textId="77777777" w:rsidR="00CD02ED" w:rsidRDefault="00CD02ED" w:rsidP="00AF0FF8">
      <w:pPr>
        <w:shd w:val="clear" w:color="auto" w:fill="FFFFFF"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fr-FR"/>
        </w:rPr>
      </w:pPr>
    </w:p>
    <w:p w14:paraId="312AAB6D" w14:textId="1EB984CC" w:rsidR="00AF0FF8" w:rsidRPr="001A6CA4" w:rsidRDefault="00973802" w:rsidP="00AF0FF8">
      <w:pPr>
        <w:shd w:val="clear" w:color="auto" w:fill="FFFFFF"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fr-FR"/>
        </w:rPr>
      </w:pPr>
      <w:r w:rsidRPr="001A6CA4">
        <w:rPr>
          <w:rFonts w:ascii="Times New Roman" w:eastAsia="Times New Roman" w:hAnsi="Times New Roman"/>
          <w:b/>
          <w:bCs/>
          <w:sz w:val="21"/>
          <w:szCs w:val="21"/>
          <w:lang w:eastAsia="fr-FR"/>
        </w:rPr>
        <w:t>Graphique 3 : l</w:t>
      </w:r>
      <w:r w:rsidR="00AF0FF8" w:rsidRPr="001A6CA4">
        <w:rPr>
          <w:rFonts w:ascii="Times New Roman" w:eastAsia="Times New Roman" w:hAnsi="Times New Roman"/>
          <w:b/>
          <w:bCs/>
          <w:sz w:val="21"/>
          <w:szCs w:val="21"/>
          <w:lang w:eastAsia="fr-FR"/>
        </w:rPr>
        <w:t xml:space="preserve">es énergies renouvelables en </w:t>
      </w:r>
      <w:r w:rsidR="00AC4A01" w:rsidRPr="001A6CA4">
        <w:rPr>
          <w:rFonts w:ascii="Times New Roman" w:eastAsia="Times New Roman" w:hAnsi="Times New Roman"/>
          <w:b/>
          <w:bCs/>
          <w:sz w:val="21"/>
          <w:szCs w:val="21"/>
          <w:lang w:eastAsia="fr-FR"/>
        </w:rPr>
        <w:t>France</w:t>
      </w:r>
    </w:p>
    <w:p w14:paraId="222BD98B" w14:textId="77777777" w:rsidR="00AC4A01" w:rsidRPr="001A6CA4" w:rsidRDefault="00AC4A01" w:rsidP="00AF0FF8">
      <w:pPr>
        <w:shd w:val="clear" w:color="auto" w:fill="FFFFFF"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fr-FR"/>
        </w:rPr>
      </w:pPr>
    </w:p>
    <w:p w14:paraId="33E9F361" w14:textId="10882FCA" w:rsidR="00AF0FF8" w:rsidRPr="001A6CA4" w:rsidRDefault="00D86686" w:rsidP="00D86686">
      <w:pPr>
        <w:jc w:val="center"/>
        <w:rPr>
          <w:rFonts w:eastAsia="Times New Roman" w:cs="Calibri"/>
          <w:lang w:eastAsia="fr-FR"/>
        </w:rPr>
      </w:pPr>
      <w:r w:rsidRPr="001A6CA4">
        <w:rPr>
          <w:rFonts w:ascii="Times New Roman" w:eastAsia="Times New Roman" w:hAnsi="Times New Roman"/>
          <w:noProof/>
          <w:sz w:val="21"/>
          <w:szCs w:val="21"/>
          <w:lang w:eastAsia="fr-FR"/>
        </w:rPr>
        <w:drawing>
          <wp:inline distT="0" distB="0" distL="0" distR="0" wp14:anchorId="539E1CF1" wp14:editId="1BE8DFA7">
            <wp:extent cx="3257550" cy="2247611"/>
            <wp:effectExtent l="0" t="0" r="0" b="635"/>
            <wp:docPr id="3" name="Picture 3" descr="A picture containing diagram&#10;&#10;Description automatically genera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005" cy="227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1013A" w14:textId="63F202C5" w:rsidR="00D86686" w:rsidRPr="001A6CA4" w:rsidRDefault="00D86686" w:rsidP="00D86686">
      <w:pPr>
        <w:rPr>
          <w:rFonts w:eastAsia="Times New Roman" w:cs="Calibri"/>
          <w:sz w:val="18"/>
          <w:szCs w:val="18"/>
          <w:lang w:eastAsia="fr-FR"/>
        </w:rPr>
      </w:pPr>
      <w:r w:rsidRPr="001A6CA4">
        <w:rPr>
          <w:rFonts w:eastAsia="Times New Roman" w:cs="Calibri"/>
          <w:sz w:val="18"/>
          <w:szCs w:val="18"/>
          <w:lang w:eastAsia="fr-FR"/>
        </w:rPr>
        <w:t>Source </w:t>
      </w:r>
      <w:r w:rsidR="00CD02ED">
        <w:rPr>
          <w:rFonts w:eastAsia="Times New Roman" w:cs="Calibri"/>
          <w:sz w:val="18"/>
          <w:szCs w:val="18"/>
          <w:lang w:eastAsia="fr-FR"/>
        </w:rPr>
        <w:t>des graphiques 1, 2 et 3</w:t>
      </w:r>
      <w:r w:rsidRPr="001A6CA4">
        <w:rPr>
          <w:rFonts w:eastAsia="Times New Roman" w:cs="Calibri"/>
          <w:sz w:val="18"/>
          <w:szCs w:val="18"/>
          <w:lang w:eastAsia="fr-FR"/>
        </w:rPr>
        <w:t xml:space="preserve">: </w:t>
      </w:r>
      <w:r w:rsidRPr="001A6CA4">
        <w:rPr>
          <w:rStyle w:val="Policepardfaut1"/>
          <w:rFonts w:cs="Calibri"/>
          <w:sz w:val="18"/>
          <w:szCs w:val="18"/>
          <w:shd w:val="clear" w:color="auto" w:fill="FFFFFF"/>
        </w:rPr>
        <w:t>Office parlementaire d’évaluation des choix scientifiques et techniques, 2020,</w:t>
      </w:r>
      <w:r w:rsidRPr="001A6CA4">
        <w:rPr>
          <w:sz w:val="18"/>
          <w:szCs w:val="18"/>
        </w:rPr>
        <w:t xml:space="preserve"> </w:t>
      </w:r>
      <w:r w:rsidRPr="001A6CA4">
        <w:rPr>
          <w:rFonts w:eastAsia="Times New Roman" w:cs="Calibri"/>
          <w:sz w:val="18"/>
          <w:szCs w:val="18"/>
          <w:lang w:eastAsia="fr-FR"/>
        </w:rPr>
        <w:t>« L’agriculture face au défi de la production d’énergie » (page 17), d’après le service statistique du Ministère de la transition écologique, 2019</w:t>
      </w:r>
    </w:p>
    <w:p w14:paraId="5EEAC14E" w14:textId="77777777" w:rsidR="00CD02ED" w:rsidRDefault="00CD02ED" w:rsidP="00653E5A">
      <w:pPr>
        <w:shd w:val="clear" w:color="auto" w:fill="FFFFFF"/>
        <w:suppressAutoHyphens w:val="0"/>
        <w:autoSpaceDN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1"/>
          <w:szCs w:val="21"/>
          <w:lang w:eastAsia="fr-FR"/>
        </w:rPr>
      </w:pPr>
    </w:p>
    <w:p w14:paraId="7733FC0D" w14:textId="6F06A573" w:rsidR="00653E5A" w:rsidRPr="007B233F" w:rsidRDefault="00653E5A" w:rsidP="00653E5A">
      <w:pPr>
        <w:shd w:val="clear" w:color="auto" w:fill="FFFFFF"/>
        <w:suppressAutoHyphens w:val="0"/>
        <w:autoSpaceDN/>
        <w:spacing w:after="0" w:line="240" w:lineRule="auto"/>
        <w:jc w:val="center"/>
        <w:rPr>
          <w:rFonts w:asciiTheme="minorHAnsi" w:eastAsia="Times New Roman" w:hAnsiTheme="minorHAnsi" w:cstheme="minorHAnsi"/>
          <w:sz w:val="21"/>
          <w:szCs w:val="21"/>
          <w:lang w:eastAsia="fr-FR"/>
        </w:rPr>
      </w:pPr>
      <w:r>
        <w:rPr>
          <w:rFonts w:asciiTheme="minorHAnsi" w:eastAsia="Times New Roman" w:hAnsiTheme="minorHAnsi" w:cstheme="minorHAnsi"/>
          <w:b/>
          <w:bCs/>
          <w:sz w:val="21"/>
          <w:szCs w:val="21"/>
          <w:lang w:eastAsia="fr-FR"/>
        </w:rPr>
        <w:t>O</w:t>
      </w:r>
      <w:r w:rsidRPr="007B233F">
        <w:rPr>
          <w:rFonts w:asciiTheme="minorHAnsi" w:eastAsia="Times New Roman" w:hAnsiTheme="minorHAnsi" w:cstheme="minorHAnsi"/>
          <w:b/>
          <w:bCs/>
          <w:sz w:val="21"/>
          <w:szCs w:val="21"/>
          <w:lang w:eastAsia="fr-FR"/>
        </w:rPr>
        <w:t>bjectifs fixés par la programmation pluriannuelle de l'énergie (PPE)</w:t>
      </w:r>
    </w:p>
    <w:p w14:paraId="20596D3F" w14:textId="77777777" w:rsidR="00653E5A" w:rsidRPr="007B233F" w:rsidRDefault="00653E5A" w:rsidP="00653E5A">
      <w:pPr>
        <w:shd w:val="clear" w:color="auto" w:fill="FFFFFF"/>
        <w:suppressAutoHyphens w:val="0"/>
        <w:autoSpaceDN/>
        <w:spacing w:after="150" w:line="240" w:lineRule="auto"/>
        <w:jc w:val="center"/>
        <w:rPr>
          <w:rFonts w:asciiTheme="minorHAnsi" w:eastAsia="Times New Roman" w:hAnsiTheme="minorHAnsi" w:cstheme="minorHAnsi"/>
          <w:sz w:val="21"/>
          <w:szCs w:val="21"/>
          <w:lang w:eastAsia="fr-FR"/>
        </w:rPr>
      </w:pPr>
      <w:r w:rsidRPr="007B233F">
        <w:rPr>
          <w:rFonts w:asciiTheme="minorHAnsi" w:eastAsia="Times New Roman" w:hAnsiTheme="minorHAnsi" w:cstheme="minorHAnsi"/>
          <w:sz w:val="21"/>
          <w:szCs w:val="21"/>
          <w:lang w:eastAsia="fr-FR"/>
        </w:rPr>
        <w:t>(capacité installée en GW)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1"/>
        <w:gridCol w:w="1793"/>
        <w:gridCol w:w="1793"/>
        <w:gridCol w:w="1261"/>
      </w:tblGrid>
      <w:tr w:rsidR="00653E5A" w14:paraId="43E08BBC" w14:textId="77777777" w:rsidTr="00B43AEB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21C0BA5E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79BA6FA0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2018 (PPE de 2016)</w:t>
            </w:r>
          </w:p>
        </w:tc>
        <w:tc>
          <w:tcPr>
            <w:tcW w:w="0" w:type="auto"/>
            <w:vAlign w:val="center"/>
          </w:tcPr>
          <w:p w14:paraId="00595845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2028 (PP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</w:t>
            </w: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2020)</w:t>
            </w:r>
          </w:p>
        </w:tc>
        <w:tc>
          <w:tcPr>
            <w:tcW w:w="0" w:type="auto"/>
            <w:vAlign w:val="center"/>
          </w:tcPr>
          <w:p w14:paraId="7E9C0E61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2028 % 2018</w:t>
            </w:r>
          </w:p>
        </w:tc>
      </w:tr>
      <w:tr w:rsidR="00653E5A" w14:paraId="50C75712" w14:textId="77777777" w:rsidTr="00B43AEB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185D9420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Hydroélectricité</w:t>
            </w:r>
          </w:p>
        </w:tc>
        <w:tc>
          <w:tcPr>
            <w:tcW w:w="0" w:type="auto"/>
            <w:vAlign w:val="center"/>
          </w:tcPr>
          <w:p w14:paraId="59084785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25,3</w:t>
            </w:r>
          </w:p>
        </w:tc>
        <w:tc>
          <w:tcPr>
            <w:tcW w:w="0" w:type="auto"/>
            <w:vAlign w:val="center"/>
          </w:tcPr>
          <w:p w14:paraId="2DACA67D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26,4 – 26,7</w:t>
            </w:r>
          </w:p>
        </w:tc>
        <w:tc>
          <w:tcPr>
            <w:tcW w:w="0" w:type="auto"/>
            <w:vAlign w:val="center"/>
          </w:tcPr>
          <w:p w14:paraId="537BD5D6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106%</w:t>
            </w:r>
          </w:p>
        </w:tc>
      </w:tr>
      <w:tr w:rsidR="00653E5A" w14:paraId="7C4DDDD8" w14:textId="77777777" w:rsidTr="00B43AEB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0A642FB3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Eolien terrestre</w:t>
            </w:r>
          </w:p>
        </w:tc>
        <w:tc>
          <w:tcPr>
            <w:tcW w:w="0" w:type="auto"/>
            <w:vAlign w:val="center"/>
          </w:tcPr>
          <w:p w14:paraId="4086978E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0" w:type="auto"/>
            <w:vAlign w:val="center"/>
          </w:tcPr>
          <w:p w14:paraId="0670FEE7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33,2 – 34,7</w:t>
            </w:r>
          </w:p>
        </w:tc>
        <w:tc>
          <w:tcPr>
            <w:tcW w:w="0" w:type="auto"/>
            <w:vAlign w:val="center"/>
          </w:tcPr>
          <w:p w14:paraId="37EF8F01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231%</w:t>
            </w:r>
          </w:p>
        </w:tc>
      </w:tr>
      <w:tr w:rsidR="00653E5A" w14:paraId="6F94F3AB" w14:textId="77777777" w:rsidTr="00B43AEB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5244A86B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Eolien en mer</w:t>
            </w:r>
          </w:p>
          <w:p w14:paraId="2EFE01F0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photo</w:t>
            </w:r>
          </w:p>
        </w:tc>
        <w:tc>
          <w:tcPr>
            <w:tcW w:w="0" w:type="auto"/>
            <w:vAlign w:val="center"/>
          </w:tcPr>
          <w:p w14:paraId="619D31B2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0,5</w:t>
            </w:r>
          </w:p>
        </w:tc>
        <w:tc>
          <w:tcPr>
            <w:tcW w:w="0" w:type="auto"/>
            <w:vAlign w:val="center"/>
          </w:tcPr>
          <w:p w14:paraId="66886DE0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5,2 – 6,2</w:t>
            </w:r>
          </w:p>
        </w:tc>
        <w:tc>
          <w:tcPr>
            <w:tcW w:w="0" w:type="auto"/>
            <w:vAlign w:val="center"/>
          </w:tcPr>
          <w:p w14:paraId="1AEC2004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1240%</w:t>
            </w:r>
          </w:p>
        </w:tc>
      </w:tr>
      <w:tr w:rsidR="00653E5A" w14:paraId="73F19AFE" w14:textId="77777777" w:rsidTr="00B43AEB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4054EC7E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Photovoltaïque</w:t>
            </w:r>
          </w:p>
        </w:tc>
        <w:tc>
          <w:tcPr>
            <w:tcW w:w="0" w:type="auto"/>
            <w:vAlign w:val="center"/>
          </w:tcPr>
          <w:p w14:paraId="150183E7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10,2</w:t>
            </w:r>
          </w:p>
        </w:tc>
        <w:tc>
          <w:tcPr>
            <w:tcW w:w="0" w:type="auto"/>
            <w:vAlign w:val="center"/>
          </w:tcPr>
          <w:p w14:paraId="762DFE7F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35,1 – 44</w:t>
            </w:r>
          </w:p>
        </w:tc>
        <w:tc>
          <w:tcPr>
            <w:tcW w:w="0" w:type="auto"/>
            <w:vAlign w:val="center"/>
          </w:tcPr>
          <w:p w14:paraId="5D893636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431%</w:t>
            </w:r>
          </w:p>
        </w:tc>
      </w:tr>
      <w:tr w:rsidR="00653E5A" w14:paraId="5D61EFE9" w14:textId="77777777" w:rsidTr="00B43AEB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16D3F943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Biomasse</w:t>
            </w:r>
          </w:p>
        </w:tc>
        <w:tc>
          <w:tcPr>
            <w:tcW w:w="0" w:type="auto"/>
            <w:vAlign w:val="center"/>
          </w:tcPr>
          <w:p w14:paraId="5D0E43E6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0,54</w:t>
            </w:r>
          </w:p>
        </w:tc>
        <w:tc>
          <w:tcPr>
            <w:tcW w:w="0" w:type="auto"/>
            <w:vAlign w:val="center"/>
          </w:tcPr>
          <w:p w14:paraId="074FB01D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0,8</w:t>
            </w:r>
          </w:p>
        </w:tc>
        <w:tc>
          <w:tcPr>
            <w:tcW w:w="0" w:type="auto"/>
            <w:vAlign w:val="center"/>
          </w:tcPr>
          <w:p w14:paraId="17240F0C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148%</w:t>
            </w:r>
          </w:p>
        </w:tc>
      </w:tr>
      <w:tr w:rsidR="00653E5A" w14:paraId="1B3EBBC6" w14:textId="77777777" w:rsidTr="00B43AEB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113DB276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Méthanisation</w:t>
            </w:r>
          </w:p>
        </w:tc>
        <w:tc>
          <w:tcPr>
            <w:tcW w:w="0" w:type="auto"/>
            <w:vAlign w:val="center"/>
          </w:tcPr>
          <w:p w14:paraId="06F4132A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0,137</w:t>
            </w:r>
          </w:p>
        </w:tc>
        <w:tc>
          <w:tcPr>
            <w:tcW w:w="0" w:type="auto"/>
            <w:vAlign w:val="center"/>
          </w:tcPr>
          <w:p w14:paraId="5C8FF1DF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0,34 – 0,41</w:t>
            </w:r>
          </w:p>
        </w:tc>
        <w:tc>
          <w:tcPr>
            <w:tcW w:w="0" w:type="auto"/>
            <w:vAlign w:val="center"/>
          </w:tcPr>
          <w:p w14:paraId="193EDA05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299%</w:t>
            </w:r>
          </w:p>
        </w:tc>
      </w:tr>
      <w:tr w:rsidR="00653E5A" w14:paraId="538E7772" w14:textId="77777777" w:rsidTr="00B43AEB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50B6591F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Géothermie</w:t>
            </w:r>
          </w:p>
        </w:tc>
        <w:tc>
          <w:tcPr>
            <w:tcW w:w="0" w:type="auto"/>
            <w:vAlign w:val="center"/>
          </w:tcPr>
          <w:p w14:paraId="7E85CAF5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0,008</w:t>
            </w:r>
          </w:p>
        </w:tc>
        <w:tc>
          <w:tcPr>
            <w:tcW w:w="0" w:type="auto"/>
            <w:vAlign w:val="center"/>
          </w:tcPr>
          <w:p w14:paraId="6DC80AE4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0,024</w:t>
            </w:r>
          </w:p>
        </w:tc>
        <w:tc>
          <w:tcPr>
            <w:tcW w:w="0" w:type="auto"/>
            <w:vAlign w:val="center"/>
          </w:tcPr>
          <w:p w14:paraId="2E56D0A1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300%</w:t>
            </w:r>
          </w:p>
        </w:tc>
      </w:tr>
      <w:tr w:rsidR="00653E5A" w14:paraId="7A55D858" w14:textId="77777777" w:rsidTr="00B43AEB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1B892AC8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</w:tcPr>
          <w:p w14:paraId="783AF060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0" w:type="auto"/>
            <w:vAlign w:val="center"/>
          </w:tcPr>
          <w:p w14:paraId="08249C26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101 - 113</w:t>
            </w:r>
          </w:p>
        </w:tc>
        <w:tc>
          <w:tcPr>
            <w:tcW w:w="0" w:type="auto"/>
            <w:vAlign w:val="center"/>
          </w:tcPr>
          <w:p w14:paraId="7F870849" w14:textId="77777777" w:rsidR="00653E5A" w:rsidRPr="007B233F" w:rsidRDefault="00653E5A" w:rsidP="00B43AEB">
            <w:pPr>
              <w:suppressAutoHyphens w:val="0"/>
              <w:autoSpaceDN/>
              <w:spacing w:before="150" w:after="15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B23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217%</w:t>
            </w:r>
          </w:p>
        </w:tc>
      </w:tr>
    </w:tbl>
    <w:p w14:paraId="4B405F33" w14:textId="77777777" w:rsidR="00E002AD" w:rsidRDefault="00E002AD" w:rsidP="00E002AD">
      <w:pPr>
        <w:shd w:val="clear" w:color="auto" w:fill="FFFFFF"/>
        <w:suppressAutoHyphens w:val="0"/>
        <w:autoSpaceDN/>
        <w:spacing w:after="0" w:line="240" w:lineRule="auto"/>
        <w:ind w:left="708"/>
        <w:rPr>
          <w:rFonts w:asciiTheme="minorHAnsi" w:eastAsia="Times New Roman" w:hAnsiTheme="minorHAnsi" w:cstheme="minorHAnsi"/>
          <w:sz w:val="16"/>
          <w:szCs w:val="16"/>
          <w:lang w:eastAsia="fr-FR"/>
        </w:rPr>
      </w:pPr>
    </w:p>
    <w:p w14:paraId="4A59A3AD" w14:textId="447B5A34" w:rsidR="00653E5A" w:rsidRPr="001A6CA4" w:rsidRDefault="00653E5A" w:rsidP="00E002AD">
      <w:pPr>
        <w:shd w:val="clear" w:color="auto" w:fill="FFFFFF"/>
        <w:suppressAutoHyphens w:val="0"/>
        <w:autoSpaceDN/>
        <w:spacing w:after="0" w:line="240" w:lineRule="auto"/>
        <w:ind w:left="708" w:firstLine="708"/>
        <w:rPr>
          <w:rFonts w:asciiTheme="minorHAnsi" w:eastAsia="Times New Roman" w:hAnsiTheme="minorHAnsi" w:cstheme="minorHAnsi"/>
          <w:sz w:val="16"/>
          <w:szCs w:val="16"/>
          <w:lang w:eastAsia="fr-FR"/>
        </w:rPr>
      </w:pPr>
      <w:r w:rsidRPr="001A6CA4">
        <w:rPr>
          <w:rFonts w:asciiTheme="minorHAnsi" w:eastAsia="Times New Roman" w:hAnsiTheme="minorHAnsi" w:cstheme="minorHAnsi"/>
          <w:sz w:val="16"/>
          <w:szCs w:val="16"/>
          <w:lang w:eastAsia="fr-FR"/>
        </w:rPr>
        <w:t>Source : OPECST d'après la programmation pluriannuelle de l'énergie publiée le 27 octobre 2016 et le 21 avril 2020</w:t>
      </w:r>
      <w:bookmarkStart w:id="0" w:name="fnref35"/>
      <w:bookmarkEnd w:id="0"/>
      <w:r w:rsidRPr="001A6CA4">
        <w:rPr>
          <w:rFonts w:asciiTheme="minorHAnsi" w:eastAsia="Times New Roman" w:hAnsiTheme="minorHAnsi" w:cstheme="minorHAnsi"/>
          <w:sz w:val="16"/>
          <w:szCs w:val="16"/>
          <w:lang w:eastAsia="fr-FR"/>
        </w:rPr>
        <w:t>.</w:t>
      </w:r>
    </w:p>
    <w:p w14:paraId="6BE8F97D" w14:textId="77777777" w:rsidR="00653E5A" w:rsidRDefault="00653E5A" w:rsidP="00653E5A">
      <w:pPr>
        <w:jc w:val="both"/>
      </w:pPr>
    </w:p>
    <w:p w14:paraId="443A9D0D" w14:textId="5F343803" w:rsidR="003B179B" w:rsidRPr="00CD02ED" w:rsidRDefault="00ED60A8" w:rsidP="00CD02ED">
      <w:pPr>
        <w:suppressAutoHyphens w:val="0"/>
        <w:jc w:val="center"/>
        <w:rPr>
          <w:rFonts w:eastAsia="Times New Roman" w:cs="Calibri"/>
          <w:b/>
          <w:bCs/>
          <w:lang w:eastAsia="fr-FR"/>
        </w:rPr>
      </w:pPr>
      <w:r w:rsidRPr="00CD02ED">
        <w:rPr>
          <w:rFonts w:eastAsia="Times New Roman" w:cs="Calibri"/>
          <w:b/>
          <w:bCs/>
          <w:lang w:eastAsia="fr-FR"/>
        </w:rPr>
        <w:t>Bibliographie</w:t>
      </w:r>
    </w:p>
    <w:p w14:paraId="17A7C5E8" w14:textId="77777777" w:rsidR="003B179B" w:rsidRPr="001A6CA4" w:rsidRDefault="00ED60A8" w:rsidP="00FD3890">
      <w:pPr>
        <w:pStyle w:val="Paragraphedeliste1"/>
        <w:numPr>
          <w:ilvl w:val="0"/>
          <w:numId w:val="3"/>
        </w:numPr>
        <w:spacing w:after="60" w:line="250" w:lineRule="auto"/>
        <w:ind w:left="357" w:hanging="357"/>
        <w:jc w:val="both"/>
      </w:pPr>
      <w:r w:rsidRPr="001A6CA4">
        <w:rPr>
          <w:rStyle w:val="Policepardfaut1"/>
          <w:rFonts w:eastAsia="Times New Roman" w:cs="Calibri"/>
          <w:lang w:eastAsia="fr-FR"/>
        </w:rPr>
        <w:t>AgroParisTech (2019), Les Disputes d’AgroParisTech : l’effondrement des énergies</w:t>
      </w:r>
    </w:p>
    <w:p w14:paraId="703A17C9" w14:textId="5608A947" w:rsidR="003B179B" w:rsidRPr="001A6CA4" w:rsidRDefault="00ED60A8" w:rsidP="00FD3890">
      <w:pPr>
        <w:pStyle w:val="Paragraphedeliste1"/>
        <w:numPr>
          <w:ilvl w:val="0"/>
          <w:numId w:val="3"/>
        </w:numPr>
        <w:spacing w:after="60" w:line="250" w:lineRule="auto"/>
        <w:ind w:left="357" w:hanging="357"/>
        <w:jc w:val="both"/>
        <w:rPr>
          <w:rFonts w:cs="Calibri"/>
          <w:shd w:val="clear" w:color="auto" w:fill="FFFFFF"/>
        </w:rPr>
      </w:pPr>
      <w:r w:rsidRPr="001A6CA4">
        <w:rPr>
          <w:rFonts w:cs="Calibri"/>
          <w:shd w:val="clear" w:color="auto" w:fill="FFFFFF"/>
        </w:rPr>
        <w:t>G</w:t>
      </w:r>
      <w:r w:rsidR="00CD02ED">
        <w:rPr>
          <w:rFonts w:cs="Calibri"/>
          <w:shd w:val="clear" w:color="auto" w:fill="FFFFFF"/>
        </w:rPr>
        <w:t>IEC (G</w:t>
      </w:r>
      <w:r w:rsidRPr="001A6CA4">
        <w:rPr>
          <w:rFonts w:cs="Calibri"/>
          <w:shd w:val="clear" w:color="auto" w:fill="FFFFFF"/>
        </w:rPr>
        <w:t>roupe intergouvernemental d’experts sur le climat</w:t>
      </w:r>
      <w:r w:rsidR="00CD02ED">
        <w:rPr>
          <w:rFonts w:cs="Calibri"/>
          <w:shd w:val="clear" w:color="auto" w:fill="FFFFFF"/>
        </w:rPr>
        <w:t>)</w:t>
      </w:r>
      <w:r w:rsidRPr="001A6CA4">
        <w:rPr>
          <w:rFonts w:cs="Calibri"/>
          <w:shd w:val="clear" w:color="auto" w:fill="FFFFFF"/>
        </w:rPr>
        <w:t xml:space="preserve"> (2019), Rapport spécial sur le changement climatique et les terres émergées (SRCCL)</w:t>
      </w:r>
    </w:p>
    <w:p w14:paraId="5C31C840" w14:textId="254EC4AC" w:rsidR="00205699" w:rsidRPr="001A6CA4" w:rsidRDefault="00CE4D8B" w:rsidP="00FD3890">
      <w:pPr>
        <w:pStyle w:val="Paragraphedeliste1"/>
        <w:numPr>
          <w:ilvl w:val="0"/>
          <w:numId w:val="3"/>
        </w:numPr>
        <w:spacing w:after="60" w:line="250" w:lineRule="auto"/>
        <w:ind w:left="357" w:hanging="357"/>
        <w:jc w:val="both"/>
        <w:rPr>
          <w:rStyle w:val="Policepardfaut1"/>
        </w:rPr>
      </w:pPr>
      <w:bookmarkStart w:id="1" w:name="_Hlk106790737"/>
      <w:r w:rsidRPr="001A6CA4">
        <w:rPr>
          <w:rStyle w:val="Policepardfaut1"/>
          <w:rFonts w:cs="Calibri"/>
          <w:shd w:val="clear" w:color="auto" w:fill="FFFFFF"/>
        </w:rPr>
        <w:t>INRA</w:t>
      </w:r>
      <w:r w:rsidR="00205699" w:rsidRPr="001A6CA4">
        <w:rPr>
          <w:rStyle w:val="Policepardfaut1"/>
          <w:rFonts w:cs="Calibri"/>
          <w:shd w:val="clear" w:color="auto" w:fill="FFFFFF"/>
        </w:rPr>
        <w:t xml:space="preserve"> </w:t>
      </w:r>
      <w:r w:rsidR="00E061E0" w:rsidRPr="001A6CA4">
        <w:rPr>
          <w:rStyle w:val="Policepardfaut1"/>
          <w:rFonts w:cs="Calibri"/>
          <w:shd w:val="clear" w:color="auto" w:fill="FFFFFF"/>
        </w:rPr>
        <w:t xml:space="preserve">Science &amp; impact </w:t>
      </w:r>
      <w:r w:rsidR="00205699" w:rsidRPr="001A6CA4">
        <w:rPr>
          <w:rStyle w:val="Policepardfaut1"/>
          <w:rFonts w:cs="Calibri"/>
          <w:shd w:val="clear" w:color="auto" w:fill="FFFFFF"/>
        </w:rPr>
        <w:t>(2020</w:t>
      </w:r>
      <w:r w:rsidR="00A0194D" w:rsidRPr="001A6CA4">
        <w:rPr>
          <w:rStyle w:val="Policepardfaut1"/>
          <w:rFonts w:cs="Calibri"/>
          <w:shd w:val="clear" w:color="auto" w:fill="FFFFFF"/>
        </w:rPr>
        <w:t>)</w:t>
      </w:r>
      <w:r w:rsidR="00205699" w:rsidRPr="001A6CA4">
        <w:rPr>
          <w:rStyle w:val="Policepardfaut1"/>
          <w:rFonts w:cs="Calibri"/>
          <w:shd w:val="clear" w:color="auto" w:fill="FFFFFF"/>
        </w:rPr>
        <w:t xml:space="preserve"> Quel potentiel au regard de l’initiative 4 pour 1000 et à quel coût ? </w:t>
      </w:r>
      <w:r w:rsidR="00267510" w:rsidRPr="001A6CA4">
        <w:rPr>
          <w:rStyle w:val="Policepardfaut1"/>
          <w:rFonts w:cs="Calibri"/>
          <w:shd w:val="clear" w:color="auto" w:fill="FFFFFF"/>
        </w:rPr>
        <w:t>Résumé de l’étude réalisée p</w:t>
      </w:r>
      <w:r w:rsidR="00804402" w:rsidRPr="001A6CA4">
        <w:rPr>
          <w:rStyle w:val="Policepardfaut1"/>
          <w:rFonts w:cs="Calibri"/>
          <w:shd w:val="clear" w:color="auto" w:fill="FFFFFF"/>
        </w:rPr>
        <w:t>ou</w:t>
      </w:r>
      <w:r w:rsidR="00267510" w:rsidRPr="001A6CA4">
        <w:rPr>
          <w:rStyle w:val="Policepardfaut1"/>
          <w:rFonts w:cs="Calibri"/>
          <w:shd w:val="clear" w:color="auto" w:fill="FFFFFF"/>
        </w:rPr>
        <w:t>r l’ADEME et le Ministère de l’agriculture et de l’alimentation</w:t>
      </w:r>
      <w:r w:rsidR="00D8257B" w:rsidRPr="001A6CA4">
        <w:rPr>
          <w:rStyle w:val="Policepardfaut1"/>
          <w:rFonts w:cs="Calibri"/>
          <w:shd w:val="clear" w:color="auto" w:fill="FFFFFF"/>
        </w:rPr>
        <w:t xml:space="preserve">. </w:t>
      </w:r>
      <w:r w:rsidR="00267510" w:rsidRPr="001A6CA4">
        <w:rPr>
          <w:rStyle w:val="Policepardfaut1"/>
          <w:rFonts w:cs="Calibri"/>
          <w:shd w:val="clear" w:color="auto" w:fill="FFFFFF"/>
        </w:rPr>
        <w:t xml:space="preserve"> </w:t>
      </w:r>
    </w:p>
    <w:p w14:paraId="4D21F147" w14:textId="6D9E19A4" w:rsidR="002059C0" w:rsidRPr="008C6CF6" w:rsidRDefault="008C6CF6" w:rsidP="00FD3890">
      <w:pPr>
        <w:pStyle w:val="Paragraphedeliste1"/>
        <w:numPr>
          <w:ilvl w:val="0"/>
          <w:numId w:val="3"/>
        </w:numPr>
        <w:spacing w:after="60" w:line="250" w:lineRule="auto"/>
        <w:ind w:left="357" w:hanging="357"/>
        <w:jc w:val="both"/>
        <w:rPr>
          <w:rStyle w:val="Policepardfaut1"/>
        </w:rPr>
      </w:pPr>
      <w:r>
        <w:rPr>
          <w:rStyle w:val="Policepardfaut1"/>
        </w:rPr>
        <w:t>FranceAgriMer</w:t>
      </w:r>
      <w:r w:rsidR="00093F37">
        <w:rPr>
          <w:rStyle w:val="Policepardfaut1"/>
        </w:rPr>
        <w:t xml:space="preserve"> (2022) Oléagineux. Fiche </w:t>
      </w:r>
      <w:r w:rsidR="002059C0">
        <w:rPr>
          <w:rStyle w:val="Policepardfaut1"/>
        </w:rPr>
        <w:t>filière</w:t>
      </w:r>
      <w:r w:rsidR="007D1A4F">
        <w:rPr>
          <w:rStyle w:val="Policepardfaut1"/>
        </w:rPr>
        <w:t>.</w:t>
      </w:r>
      <w:r w:rsidR="00093F37">
        <w:rPr>
          <w:rStyle w:val="Policepardfaut1"/>
        </w:rPr>
        <w:t xml:space="preserve"> </w:t>
      </w:r>
      <w:r w:rsidR="002059C0">
        <w:rPr>
          <w:rStyle w:val="Policepardfaut1"/>
        </w:rPr>
        <w:t xml:space="preserve">               </w:t>
      </w:r>
      <w:r w:rsidR="002059C0" w:rsidRPr="002059C0">
        <w:rPr>
          <w:rStyle w:val="Policepardfaut1"/>
        </w:rPr>
        <w:t>https://www.franceagrimer.fr/fam/content/download/68223/document/FICHE%20FILIERE%20OLEAGINEUX%202022.pdf?version=4</w:t>
      </w:r>
    </w:p>
    <w:p w14:paraId="037755AD" w14:textId="238847AE" w:rsidR="001F5B6D" w:rsidRDefault="001F5B6D" w:rsidP="00FD3890">
      <w:pPr>
        <w:pStyle w:val="Paragraphedeliste1"/>
        <w:numPr>
          <w:ilvl w:val="0"/>
          <w:numId w:val="3"/>
        </w:numPr>
        <w:spacing w:after="60" w:line="250" w:lineRule="auto"/>
        <w:ind w:left="357" w:hanging="357"/>
        <w:jc w:val="both"/>
        <w:rPr>
          <w:rStyle w:val="Policepardfaut1"/>
        </w:rPr>
      </w:pPr>
      <w:r>
        <w:rPr>
          <w:rStyle w:val="Policepardfaut1"/>
        </w:rPr>
        <w:t>IDDRI</w:t>
      </w:r>
      <w:r w:rsidR="00FD3890">
        <w:rPr>
          <w:rStyle w:val="Policepardfaut1"/>
        </w:rPr>
        <w:t xml:space="preserve"> (Institut pour le Développement Durable et les Relations Internationales),</w:t>
      </w:r>
      <w:r>
        <w:rPr>
          <w:rStyle w:val="Policepardfaut1"/>
        </w:rPr>
        <w:t xml:space="preserve"> </w:t>
      </w:r>
      <w:r w:rsidR="00FD3890">
        <w:rPr>
          <w:rStyle w:val="Policepardfaut1"/>
        </w:rPr>
        <w:t>(</w:t>
      </w:r>
      <w:r w:rsidR="00FD3890">
        <w:rPr>
          <w:rStyle w:val="Policepardfaut1"/>
        </w:rPr>
        <w:t>2018</w:t>
      </w:r>
      <w:r w:rsidR="00FD3890">
        <w:rPr>
          <w:rStyle w:val="Policepardfaut1"/>
        </w:rPr>
        <w:t xml:space="preserve">) </w:t>
      </w:r>
      <w:r w:rsidR="00FD3890">
        <w:rPr>
          <w:rStyle w:val="Policepardfaut1"/>
        </w:rPr>
        <w:t xml:space="preserve">Une Europe agroécologique en 2050 : une agriculture multifonctionnelle pour une alimentation saine (projet TYFA) auteurs : Poux, Xavier, et Aubert, Pierre-Marie, </w:t>
      </w:r>
      <w:hyperlink r:id="rId16" w:history="1">
        <w:r w:rsidR="00FD3890" w:rsidRPr="00287E7E">
          <w:rPr>
            <w:rStyle w:val="Hyperlink"/>
          </w:rPr>
          <w:t>https://www.iddri.org/fr/publications-et-evenements/etude/une-europe-agroecologique-en-2050-une-agriculture</w:t>
        </w:r>
      </w:hyperlink>
    </w:p>
    <w:p w14:paraId="7FAF6D08" w14:textId="747EECDB" w:rsidR="003B179B" w:rsidRPr="001A6CA4" w:rsidRDefault="00ED60A8" w:rsidP="00FD3890">
      <w:pPr>
        <w:pStyle w:val="Paragraphedeliste1"/>
        <w:numPr>
          <w:ilvl w:val="0"/>
          <w:numId w:val="3"/>
        </w:numPr>
        <w:spacing w:after="60" w:line="250" w:lineRule="auto"/>
        <w:ind w:left="357" w:hanging="357"/>
        <w:jc w:val="both"/>
      </w:pPr>
      <w:r w:rsidRPr="001A6CA4">
        <w:rPr>
          <w:rStyle w:val="Policepardfaut1"/>
          <w:rFonts w:cs="Calibri"/>
          <w:shd w:val="clear" w:color="auto" w:fill="FFFFFF"/>
        </w:rPr>
        <w:t>Office parlementaire d’évaluation des choix scientifiques et techniques</w:t>
      </w:r>
      <w:r w:rsidR="00FD3890">
        <w:rPr>
          <w:rStyle w:val="Policepardfaut1"/>
          <w:rFonts w:cs="Calibri"/>
          <w:shd w:val="clear" w:color="auto" w:fill="FFFFFF"/>
        </w:rPr>
        <w:t xml:space="preserve"> (</w:t>
      </w:r>
      <w:r w:rsidRPr="001A6CA4">
        <w:rPr>
          <w:rStyle w:val="Policepardfaut1"/>
          <w:rFonts w:cs="Calibri"/>
          <w:shd w:val="clear" w:color="auto" w:fill="FFFFFF"/>
        </w:rPr>
        <w:t>2020</w:t>
      </w:r>
      <w:r w:rsidR="00FD3890">
        <w:rPr>
          <w:rStyle w:val="Policepardfaut1"/>
          <w:rFonts w:cs="Calibri"/>
          <w:shd w:val="clear" w:color="auto" w:fill="FFFFFF"/>
        </w:rPr>
        <w:t>)</w:t>
      </w:r>
      <w:r w:rsidRPr="001A6CA4">
        <w:rPr>
          <w:rStyle w:val="Policepardfaut1"/>
          <w:rFonts w:cs="Calibri"/>
          <w:shd w:val="clear" w:color="auto" w:fill="FFFFFF"/>
        </w:rPr>
        <w:t>,</w:t>
      </w:r>
      <w:r w:rsidRPr="001A6CA4">
        <w:t xml:space="preserve"> </w:t>
      </w:r>
      <w:bookmarkEnd w:id="1"/>
      <w:r w:rsidR="00804402" w:rsidRPr="001A6CA4">
        <w:fldChar w:fldCharType="begin"/>
      </w:r>
      <w:r w:rsidR="00804402" w:rsidRPr="001A6CA4">
        <w:instrText>HYPERLINK "https://www.senat.fr/notice-rapport/2019/r19-646-notice.html"</w:instrText>
      </w:r>
      <w:r w:rsidR="00804402" w:rsidRPr="001A6CA4">
        <w:fldChar w:fldCharType="separate"/>
      </w:r>
      <w:r w:rsidRPr="001A6CA4">
        <w:rPr>
          <w:rStyle w:val="Lienhypertexte1"/>
          <w:rFonts w:cs="Calibri"/>
          <w:color w:val="auto"/>
          <w:shd w:val="clear" w:color="auto" w:fill="FFFFFF"/>
        </w:rPr>
        <w:t>L’agriculture face au défi de la production d’énergie </w:t>
      </w:r>
      <w:r w:rsidR="00804402" w:rsidRPr="001A6CA4">
        <w:rPr>
          <w:rStyle w:val="Lienhypertexte1"/>
          <w:rFonts w:cs="Calibri"/>
          <w:color w:val="auto"/>
          <w:shd w:val="clear" w:color="auto" w:fill="FFFFFF"/>
        </w:rPr>
        <w:fldChar w:fldCharType="end"/>
      </w:r>
      <w:r w:rsidRPr="001A6CA4">
        <w:rPr>
          <w:rStyle w:val="Policepardfaut1"/>
          <w:rFonts w:cs="Calibri"/>
          <w:shd w:val="clear" w:color="auto" w:fill="FFFFFF"/>
        </w:rPr>
        <w:t>», Rapport de MM. Roland Couteau, sénateur, et Jean-Luc Fugit, député.</w:t>
      </w:r>
    </w:p>
    <w:p w14:paraId="58320B05" w14:textId="5288CF56" w:rsidR="00FD3890" w:rsidRPr="00FD3890" w:rsidRDefault="00FD3890" w:rsidP="00FD3890">
      <w:pPr>
        <w:pStyle w:val="Paragraphedeliste1"/>
        <w:numPr>
          <w:ilvl w:val="0"/>
          <w:numId w:val="3"/>
        </w:numPr>
        <w:spacing w:after="60" w:line="250" w:lineRule="auto"/>
        <w:ind w:left="357" w:hanging="357"/>
        <w:jc w:val="both"/>
        <w:rPr>
          <w:rStyle w:val="Policepardfaut1"/>
        </w:rPr>
      </w:pPr>
      <w:r w:rsidRPr="001A6CA4">
        <w:rPr>
          <w:rStyle w:val="Policepardfaut1"/>
          <w:rFonts w:cs="Calibri"/>
          <w:shd w:val="clear" w:color="auto" w:fill="FFFFFF"/>
        </w:rPr>
        <w:t>SOLAGRO (2018) Note de positionnement. La méthanisation rural</w:t>
      </w:r>
      <w:r>
        <w:rPr>
          <w:rStyle w:val="Policepardfaut1"/>
          <w:rFonts w:cs="Calibri"/>
          <w:shd w:val="clear" w:color="auto" w:fill="FFFFFF"/>
        </w:rPr>
        <w:t>e</w:t>
      </w:r>
      <w:r w:rsidRPr="001A6CA4">
        <w:rPr>
          <w:rStyle w:val="Policepardfaut1"/>
          <w:rFonts w:cs="Calibri"/>
          <w:shd w:val="clear" w:color="auto" w:fill="FFFFFF"/>
        </w:rPr>
        <w:t xml:space="preserve">, outil des transitions énergétique et agroécologique. </w:t>
      </w:r>
    </w:p>
    <w:p w14:paraId="6BE643ED" w14:textId="38BAB431" w:rsidR="00A36C57" w:rsidRPr="00A36C57" w:rsidRDefault="00A36C57" w:rsidP="00FD3890">
      <w:pPr>
        <w:pStyle w:val="Paragraphedeliste1"/>
        <w:numPr>
          <w:ilvl w:val="0"/>
          <w:numId w:val="3"/>
        </w:numPr>
        <w:spacing w:after="60" w:line="250" w:lineRule="auto"/>
        <w:ind w:left="357" w:hanging="357"/>
        <w:jc w:val="both"/>
        <w:rPr>
          <w:rStyle w:val="Policepardfaut1"/>
        </w:rPr>
      </w:pPr>
      <w:r>
        <w:rPr>
          <w:rStyle w:val="Policepardfaut1"/>
          <w:rFonts w:cs="Calibri"/>
          <w:shd w:val="clear" w:color="auto" w:fill="FFFFFF"/>
        </w:rPr>
        <w:t>SOLAGRO Afterres2050</w:t>
      </w:r>
      <w:r w:rsidR="00FD3890">
        <w:rPr>
          <w:rStyle w:val="Policepardfaut1"/>
          <w:rFonts w:cs="Calibri"/>
          <w:shd w:val="clear" w:color="auto" w:fill="FFFFFF"/>
        </w:rPr>
        <w:t>.</w:t>
      </w:r>
      <w:r>
        <w:rPr>
          <w:rStyle w:val="Policepardfaut1"/>
          <w:rFonts w:cs="Calibri"/>
          <w:shd w:val="clear" w:color="auto" w:fill="FFFFFF"/>
        </w:rPr>
        <w:t xml:space="preserve"> Un horizon pour l’agriculture et l’alimentation</w:t>
      </w:r>
      <w:r w:rsidR="001F5B6D">
        <w:rPr>
          <w:rStyle w:val="Policepardfaut1"/>
          <w:rFonts w:cs="Calibri"/>
          <w:shd w:val="clear" w:color="auto" w:fill="FFFFFF"/>
        </w:rPr>
        <w:t xml:space="preserve"> (plaquette 4 pages, 2021) </w:t>
      </w:r>
      <w:hyperlink r:id="rId17" w:history="1">
        <w:r w:rsidR="001F5B6D" w:rsidRPr="00287E7E">
          <w:rPr>
            <w:rStyle w:val="Hyperlink"/>
            <w:rFonts w:cs="Calibri"/>
            <w:shd w:val="clear" w:color="auto" w:fill="FFFFFF"/>
          </w:rPr>
          <w:t>https://solagro.org/images/imagesCK/files/publications/f98_2021_plaquetteafterres-4-pages.pdf</w:t>
        </w:r>
      </w:hyperlink>
    </w:p>
    <w:p w14:paraId="20F8ABD2" w14:textId="77777777" w:rsidR="003B179B" w:rsidRPr="00893741" w:rsidRDefault="00ED60A8" w:rsidP="00FD3890">
      <w:pPr>
        <w:pStyle w:val="Paragraphedeliste1"/>
        <w:numPr>
          <w:ilvl w:val="0"/>
          <w:numId w:val="3"/>
        </w:numPr>
        <w:spacing w:after="60" w:line="250" w:lineRule="auto"/>
        <w:ind w:left="357" w:hanging="357"/>
        <w:jc w:val="both"/>
        <w:rPr>
          <w:rStyle w:val="Policepardfaut1"/>
        </w:rPr>
      </w:pPr>
      <w:r w:rsidRPr="001A6CA4">
        <w:rPr>
          <w:rStyle w:val="Policepardfaut1"/>
          <w:rFonts w:cs="Calibri"/>
          <w:shd w:val="clear" w:color="auto" w:fill="FFFFFF"/>
        </w:rPr>
        <w:t>The Shift Project (2022), Le plan de transformation de l’économie française. Avant-propos de Jean-Marc Jancovici. Paris, Odile Jacob</w:t>
      </w:r>
    </w:p>
    <w:p w14:paraId="7B1BA05C" w14:textId="087AF582" w:rsidR="00893741" w:rsidRPr="001A6CA4" w:rsidRDefault="00893741">
      <w:pPr>
        <w:pStyle w:val="Paragraphedeliste1"/>
        <w:numPr>
          <w:ilvl w:val="0"/>
          <w:numId w:val="3"/>
        </w:numPr>
        <w:jc w:val="both"/>
      </w:pPr>
      <w:r>
        <w:rPr>
          <w:rStyle w:val="Policepardfaut1"/>
          <w:rFonts w:cs="Calibri"/>
          <w:shd w:val="clear" w:color="auto" w:fill="FFFFFF"/>
        </w:rPr>
        <w:t>Vert, J. Portet, F. (coord.) (2010)</w:t>
      </w:r>
      <w:r w:rsidR="00F3625F">
        <w:rPr>
          <w:rStyle w:val="Policepardfaut1"/>
          <w:rFonts w:cs="Calibri"/>
          <w:shd w:val="clear" w:color="auto" w:fill="FFFFFF"/>
        </w:rPr>
        <w:t>,</w:t>
      </w:r>
      <w:r>
        <w:rPr>
          <w:rStyle w:val="Policepardfaut1"/>
          <w:rFonts w:cs="Calibri"/>
          <w:shd w:val="clear" w:color="auto" w:fill="FFFFFF"/>
        </w:rPr>
        <w:t xml:space="preserve"> Prospective Agriculture Energie 2030. L’agriculture face aux défis énergétiques, C</w:t>
      </w:r>
      <w:r w:rsidR="00F3625F">
        <w:rPr>
          <w:rStyle w:val="Policepardfaut1"/>
          <w:rFonts w:cs="Calibri"/>
          <w:shd w:val="clear" w:color="auto" w:fill="FFFFFF"/>
        </w:rPr>
        <w:t>entre</w:t>
      </w:r>
      <w:r>
        <w:rPr>
          <w:rStyle w:val="Policepardfaut1"/>
          <w:rFonts w:cs="Calibri"/>
          <w:shd w:val="clear" w:color="auto" w:fill="FFFFFF"/>
        </w:rPr>
        <w:t xml:space="preserve"> d’études et de prospective, SSP, Ministère de l’Agriculture, de l’Alimentation, de la Pêche, de la Ruralité et de l’Aménagement du Territoire</w:t>
      </w:r>
    </w:p>
    <w:p w14:paraId="6202E3A5" w14:textId="77777777" w:rsidR="00FD3890" w:rsidRDefault="00FD3890">
      <w:pPr>
        <w:rPr>
          <w:rFonts w:eastAsia="Times New Roman" w:cs="Calibri"/>
          <w:lang w:eastAsia="fr-FR"/>
        </w:rPr>
      </w:pPr>
    </w:p>
    <w:p w14:paraId="3FEF1FE3" w14:textId="00D76323" w:rsidR="003B179B" w:rsidRPr="001A6CA4" w:rsidRDefault="009E5720">
      <w:pPr>
        <w:rPr>
          <w:rFonts w:eastAsia="Times New Roman" w:cs="Calibri"/>
          <w:lang w:eastAsia="fr-FR"/>
        </w:rPr>
      </w:pPr>
      <w:r w:rsidRPr="001A6CA4">
        <w:rPr>
          <w:rFonts w:eastAsia="Times New Roman" w:cs="Calibri"/>
          <w:lang w:eastAsia="fr-FR"/>
        </w:rPr>
        <w:t xml:space="preserve">Paris, le </w:t>
      </w:r>
      <w:r w:rsidR="00FD3890">
        <w:rPr>
          <w:rFonts w:eastAsia="Times New Roman" w:cs="Calibri"/>
          <w:lang w:eastAsia="fr-FR"/>
        </w:rPr>
        <w:t xml:space="preserve">11 janvier </w:t>
      </w:r>
      <w:r w:rsidRPr="001A6CA4">
        <w:rPr>
          <w:rFonts w:eastAsia="Times New Roman" w:cs="Calibri"/>
          <w:lang w:eastAsia="fr-FR"/>
        </w:rPr>
        <w:t>202</w:t>
      </w:r>
      <w:r w:rsidR="00FD3890">
        <w:rPr>
          <w:rFonts w:eastAsia="Times New Roman" w:cs="Calibri"/>
          <w:lang w:eastAsia="fr-FR"/>
        </w:rPr>
        <w:t>3</w:t>
      </w:r>
    </w:p>
    <w:sectPr w:rsidR="003B179B" w:rsidRPr="001A6CA4" w:rsidSect="00061F02">
      <w:pgSz w:w="11906" w:h="16838"/>
      <w:pgMar w:top="737" w:right="1418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1186" w14:textId="77777777" w:rsidR="00863FF1" w:rsidRDefault="00863FF1">
      <w:pPr>
        <w:spacing w:after="0" w:line="240" w:lineRule="auto"/>
      </w:pPr>
      <w:r>
        <w:separator/>
      </w:r>
    </w:p>
  </w:endnote>
  <w:endnote w:type="continuationSeparator" w:id="0">
    <w:p w14:paraId="2A1B8794" w14:textId="77777777" w:rsidR="00863FF1" w:rsidRDefault="0086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305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0E7B8" w14:textId="3AEA424E" w:rsidR="00160C70" w:rsidRDefault="00160C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5769E4" w14:textId="50F87888" w:rsidR="00160C70" w:rsidRPr="00A83032" w:rsidRDefault="0024088F">
    <w:pPr>
      <w:pStyle w:val="Footer"/>
      <w:rPr>
        <w:sz w:val="18"/>
        <w:szCs w:val="18"/>
      </w:rPr>
    </w:pPr>
    <w:r w:rsidRPr="00A83032">
      <w:rPr>
        <w:sz w:val="18"/>
        <w:szCs w:val="18"/>
      </w:rPr>
      <w:t>Note de cadrage MQV 11 octobre 2022 – Agriculture et énergie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D019" w14:textId="77777777" w:rsidR="00863FF1" w:rsidRDefault="00863F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B2DBAD" w14:textId="77777777" w:rsidR="00863FF1" w:rsidRDefault="00863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A6D"/>
    <w:multiLevelType w:val="hybridMultilevel"/>
    <w:tmpl w:val="20EC46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B2823"/>
    <w:multiLevelType w:val="hybridMultilevel"/>
    <w:tmpl w:val="4BFEA6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35310"/>
    <w:multiLevelType w:val="hybridMultilevel"/>
    <w:tmpl w:val="A84AAC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200A3"/>
    <w:multiLevelType w:val="hybridMultilevel"/>
    <w:tmpl w:val="22348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232"/>
    <w:multiLevelType w:val="multilevel"/>
    <w:tmpl w:val="884099F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60E26B6"/>
    <w:multiLevelType w:val="multilevel"/>
    <w:tmpl w:val="A80C4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FF6228"/>
    <w:multiLevelType w:val="hybridMultilevel"/>
    <w:tmpl w:val="76B2FA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C47843"/>
    <w:multiLevelType w:val="hybridMultilevel"/>
    <w:tmpl w:val="CD04B2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034A6"/>
    <w:multiLevelType w:val="hybridMultilevel"/>
    <w:tmpl w:val="5C660F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313B3B"/>
    <w:multiLevelType w:val="hybridMultilevel"/>
    <w:tmpl w:val="E4985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3AEF"/>
    <w:multiLevelType w:val="multilevel"/>
    <w:tmpl w:val="5E4CE2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603411884">
    <w:abstractNumId w:val="10"/>
  </w:num>
  <w:num w:numId="2" w16cid:durableId="1385178099">
    <w:abstractNumId w:val="5"/>
  </w:num>
  <w:num w:numId="3" w16cid:durableId="449205170">
    <w:abstractNumId w:val="4"/>
  </w:num>
  <w:num w:numId="4" w16cid:durableId="448164881">
    <w:abstractNumId w:val="8"/>
  </w:num>
  <w:num w:numId="5" w16cid:durableId="1415588497">
    <w:abstractNumId w:val="6"/>
  </w:num>
  <w:num w:numId="6" w16cid:durableId="1615209354">
    <w:abstractNumId w:val="3"/>
  </w:num>
  <w:num w:numId="7" w16cid:durableId="1274090373">
    <w:abstractNumId w:val="0"/>
  </w:num>
  <w:num w:numId="8" w16cid:durableId="2046563481">
    <w:abstractNumId w:val="7"/>
  </w:num>
  <w:num w:numId="9" w16cid:durableId="564608784">
    <w:abstractNumId w:val="2"/>
  </w:num>
  <w:num w:numId="10" w16cid:durableId="1909655208">
    <w:abstractNumId w:val="1"/>
  </w:num>
  <w:num w:numId="11" w16cid:durableId="155269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9B"/>
    <w:rsid w:val="00004046"/>
    <w:rsid w:val="00013741"/>
    <w:rsid w:val="00040155"/>
    <w:rsid w:val="0004300A"/>
    <w:rsid w:val="00044CF9"/>
    <w:rsid w:val="0004563D"/>
    <w:rsid w:val="000457E1"/>
    <w:rsid w:val="00057AE9"/>
    <w:rsid w:val="00060659"/>
    <w:rsid w:val="00061F02"/>
    <w:rsid w:val="00062002"/>
    <w:rsid w:val="00066F9A"/>
    <w:rsid w:val="000732C1"/>
    <w:rsid w:val="00073DA7"/>
    <w:rsid w:val="00074E72"/>
    <w:rsid w:val="0007768D"/>
    <w:rsid w:val="00082630"/>
    <w:rsid w:val="0008303C"/>
    <w:rsid w:val="00084E19"/>
    <w:rsid w:val="000910F7"/>
    <w:rsid w:val="00093F37"/>
    <w:rsid w:val="000A28B8"/>
    <w:rsid w:val="000A7005"/>
    <w:rsid w:val="000B0B8C"/>
    <w:rsid w:val="000B2C29"/>
    <w:rsid w:val="000C13B5"/>
    <w:rsid w:val="000C2E81"/>
    <w:rsid w:val="000C3E20"/>
    <w:rsid w:val="000C53E8"/>
    <w:rsid w:val="000C6EA7"/>
    <w:rsid w:val="000D080A"/>
    <w:rsid w:val="000D727C"/>
    <w:rsid w:val="000E242B"/>
    <w:rsid w:val="000E5082"/>
    <w:rsid w:val="000E6CBE"/>
    <w:rsid w:val="000F1D9F"/>
    <w:rsid w:val="000F5E8B"/>
    <w:rsid w:val="001073DB"/>
    <w:rsid w:val="00112E45"/>
    <w:rsid w:val="001245CF"/>
    <w:rsid w:val="0013598B"/>
    <w:rsid w:val="001418CA"/>
    <w:rsid w:val="0014561A"/>
    <w:rsid w:val="0015207D"/>
    <w:rsid w:val="00157E4E"/>
    <w:rsid w:val="00160C70"/>
    <w:rsid w:val="00164B39"/>
    <w:rsid w:val="001660A7"/>
    <w:rsid w:val="001677B6"/>
    <w:rsid w:val="00180EF0"/>
    <w:rsid w:val="00182680"/>
    <w:rsid w:val="00182DB6"/>
    <w:rsid w:val="00183D1D"/>
    <w:rsid w:val="00186D60"/>
    <w:rsid w:val="001959B1"/>
    <w:rsid w:val="001A1267"/>
    <w:rsid w:val="001A6CA4"/>
    <w:rsid w:val="001B055E"/>
    <w:rsid w:val="001B0655"/>
    <w:rsid w:val="001B16AF"/>
    <w:rsid w:val="001C0BA3"/>
    <w:rsid w:val="001C2451"/>
    <w:rsid w:val="001C519A"/>
    <w:rsid w:val="001D122E"/>
    <w:rsid w:val="001D762B"/>
    <w:rsid w:val="001E3619"/>
    <w:rsid w:val="001E5988"/>
    <w:rsid w:val="001E59DC"/>
    <w:rsid w:val="001F34B5"/>
    <w:rsid w:val="001F4AFC"/>
    <w:rsid w:val="001F4BCB"/>
    <w:rsid w:val="001F5114"/>
    <w:rsid w:val="001F5B6D"/>
    <w:rsid w:val="00204C10"/>
    <w:rsid w:val="00205699"/>
    <w:rsid w:val="002059C0"/>
    <w:rsid w:val="00210673"/>
    <w:rsid w:val="0022187A"/>
    <w:rsid w:val="00222A5C"/>
    <w:rsid w:val="00223348"/>
    <w:rsid w:val="002319F3"/>
    <w:rsid w:val="00233165"/>
    <w:rsid w:val="00237BC8"/>
    <w:rsid w:val="0024088F"/>
    <w:rsid w:val="00242472"/>
    <w:rsid w:val="00251568"/>
    <w:rsid w:val="00252B3D"/>
    <w:rsid w:val="00256A5B"/>
    <w:rsid w:val="00263957"/>
    <w:rsid w:val="0026719D"/>
    <w:rsid w:val="00267510"/>
    <w:rsid w:val="00271BB8"/>
    <w:rsid w:val="0028029B"/>
    <w:rsid w:val="00283E30"/>
    <w:rsid w:val="002878AC"/>
    <w:rsid w:val="002958F5"/>
    <w:rsid w:val="00297C19"/>
    <w:rsid w:val="002A0618"/>
    <w:rsid w:val="002A085E"/>
    <w:rsid w:val="002A14E4"/>
    <w:rsid w:val="002A3F81"/>
    <w:rsid w:val="002A6CBC"/>
    <w:rsid w:val="002B065B"/>
    <w:rsid w:val="002B3B8D"/>
    <w:rsid w:val="002B79A4"/>
    <w:rsid w:val="002C3316"/>
    <w:rsid w:val="002C5C36"/>
    <w:rsid w:val="002D2DF7"/>
    <w:rsid w:val="002E4578"/>
    <w:rsid w:val="002F35F9"/>
    <w:rsid w:val="002F46DF"/>
    <w:rsid w:val="002F5919"/>
    <w:rsid w:val="00300385"/>
    <w:rsid w:val="00300B44"/>
    <w:rsid w:val="00322130"/>
    <w:rsid w:val="0032466F"/>
    <w:rsid w:val="00335970"/>
    <w:rsid w:val="00343C75"/>
    <w:rsid w:val="0035085A"/>
    <w:rsid w:val="00350AC7"/>
    <w:rsid w:val="003554C7"/>
    <w:rsid w:val="00365182"/>
    <w:rsid w:val="0037046E"/>
    <w:rsid w:val="0037457B"/>
    <w:rsid w:val="00393F43"/>
    <w:rsid w:val="00394D2D"/>
    <w:rsid w:val="003A2FB0"/>
    <w:rsid w:val="003B179B"/>
    <w:rsid w:val="003C2AAB"/>
    <w:rsid w:val="003D3225"/>
    <w:rsid w:val="003D54E1"/>
    <w:rsid w:val="003E088C"/>
    <w:rsid w:val="00401E4C"/>
    <w:rsid w:val="00406CB5"/>
    <w:rsid w:val="00411648"/>
    <w:rsid w:val="0041694F"/>
    <w:rsid w:val="00420740"/>
    <w:rsid w:val="00422929"/>
    <w:rsid w:val="00424C3E"/>
    <w:rsid w:val="004306D2"/>
    <w:rsid w:val="004332B2"/>
    <w:rsid w:val="00437091"/>
    <w:rsid w:val="004405DA"/>
    <w:rsid w:val="00441784"/>
    <w:rsid w:val="004460B1"/>
    <w:rsid w:val="00447536"/>
    <w:rsid w:val="00452C55"/>
    <w:rsid w:val="004556C9"/>
    <w:rsid w:val="00460EA9"/>
    <w:rsid w:val="004627C8"/>
    <w:rsid w:val="004644E0"/>
    <w:rsid w:val="00464DCD"/>
    <w:rsid w:val="004720F0"/>
    <w:rsid w:val="00475173"/>
    <w:rsid w:val="00475478"/>
    <w:rsid w:val="00475650"/>
    <w:rsid w:val="00490A92"/>
    <w:rsid w:val="0049474C"/>
    <w:rsid w:val="00496D72"/>
    <w:rsid w:val="00497A95"/>
    <w:rsid w:val="004A744E"/>
    <w:rsid w:val="004B2486"/>
    <w:rsid w:val="004B5641"/>
    <w:rsid w:val="004C02F5"/>
    <w:rsid w:val="004F0089"/>
    <w:rsid w:val="004F4ED4"/>
    <w:rsid w:val="00517906"/>
    <w:rsid w:val="00524B85"/>
    <w:rsid w:val="00534489"/>
    <w:rsid w:val="005363ED"/>
    <w:rsid w:val="00540550"/>
    <w:rsid w:val="00546371"/>
    <w:rsid w:val="00552381"/>
    <w:rsid w:val="00554219"/>
    <w:rsid w:val="00554D5E"/>
    <w:rsid w:val="005564DF"/>
    <w:rsid w:val="00557A7B"/>
    <w:rsid w:val="00567FA2"/>
    <w:rsid w:val="00572B83"/>
    <w:rsid w:val="00575856"/>
    <w:rsid w:val="00584B53"/>
    <w:rsid w:val="0059140E"/>
    <w:rsid w:val="0059312C"/>
    <w:rsid w:val="005A67D2"/>
    <w:rsid w:val="005A7097"/>
    <w:rsid w:val="005B078E"/>
    <w:rsid w:val="005B42B2"/>
    <w:rsid w:val="005C096C"/>
    <w:rsid w:val="005C3164"/>
    <w:rsid w:val="005D0499"/>
    <w:rsid w:val="005D2882"/>
    <w:rsid w:val="005D32DD"/>
    <w:rsid w:val="005E0357"/>
    <w:rsid w:val="005E0C14"/>
    <w:rsid w:val="005E2405"/>
    <w:rsid w:val="005E2E63"/>
    <w:rsid w:val="005E363D"/>
    <w:rsid w:val="005F2FD2"/>
    <w:rsid w:val="005F2FE0"/>
    <w:rsid w:val="005F7BCB"/>
    <w:rsid w:val="00604614"/>
    <w:rsid w:val="00616CD3"/>
    <w:rsid w:val="00617360"/>
    <w:rsid w:val="00620883"/>
    <w:rsid w:val="0062108E"/>
    <w:rsid w:val="006316AF"/>
    <w:rsid w:val="0063184B"/>
    <w:rsid w:val="00641021"/>
    <w:rsid w:val="00645410"/>
    <w:rsid w:val="00653749"/>
    <w:rsid w:val="00653E5A"/>
    <w:rsid w:val="00657D62"/>
    <w:rsid w:val="00661C28"/>
    <w:rsid w:val="00662D65"/>
    <w:rsid w:val="00666344"/>
    <w:rsid w:val="006841DB"/>
    <w:rsid w:val="00684CA3"/>
    <w:rsid w:val="00686603"/>
    <w:rsid w:val="00691D2A"/>
    <w:rsid w:val="006926ED"/>
    <w:rsid w:val="006A11A3"/>
    <w:rsid w:val="006A2CF1"/>
    <w:rsid w:val="006A390D"/>
    <w:rsid w:val="006A7A47"/>
    <w:rsid w:val="006B0C1D"/>
    <w:rsid w:val="006B1B0E"/>
    <w:rsid w:val="006B218E"/>
    <w:rsid w:val="006B6F0B"/>
    <w:rsid w:val="006C0F43"/>
    <w:rsid w:val="006C6F9E"/>
    <w:rsid w:val="006E1221"/>
    <w:rsid w:val="006F7073"/>
    <w:rsid w:val="007129C4"/>
    <w:rsid w:val="00721126"/>
    <w:rsid w:val="007211FC"/>
    <w:rsid w:val="00721E59"/>
    <w:rsid w:val="00726E9A"/>
    <w:rsid w:val="007329A2"/>
    <w:rsid w:val="00733E33"/>
    <w:rsid w:val="0074022D"/>
    <w:rsid w:val="007442CA"/>
    <w:rsid w:val="00744438"/>
    <w:rsid w:val="007461A7"/>
    <w:rsid w:val="00750740"/>
    <w:rsid w:val="007538A2"/>
    <w:rsid w:val="0075438E"/>
    <w:rsid w:val="00756774"/>
    <w:rsid w:val="007657C7"/>
    <w:rsid w:val="007705B0"/>
    <w:rsid w:val="0077415F"/>
    <w:rsid w:val="00775D2B"/>
    <w:rsid w:val="00782F93"/>
    <w:rsid w:val="00786DDC"/>
    <w:rsid w:val="00787670"/>
    <w:rsid w:val="00791862"/>
    <w:rsid w:val="007A2404"/>
    <w:rsid w:val="007B0760"/>
    <w:rsid w:val="007B233F"/>
    <w:rsid w:val="007B2668"/>
    <w:rsid w:val="007C1E9B"/>
    <w:rsid w:val="007C78F5"/>
    <w:rsid w:val="007D1A4F"/>
    <w:rsid w:val="007E3A22"/>
    <w:rsid w:val="007E4212"/>
    <w:rsid w:val="007E493A"/>
    <w:rsid w:val="007E672C"/>
    <w:rsid w:val="007F0AE3"/>
    <w:rsid w:val="007F1C52"/>
    <w:rsid w:val="007F37CB"/>
    <w:rsid w:val="007F528E"/>
    <w:rsid w:val="007F5811"/>
    <w:rsid w:val="00801F1C"/>
    <w:rsid w:val="00804402"/>
    <w:rsid w:val="008058A2"/>
    <w:rsid w:val="00817E1D"/>
    <w:rsid w:val="0082412E"/>
    <w:rsid w:val="008274CA"/>
    <w:rsid w:val="00830677"/>
    <w:rsid w:val="008316C8"/>
    <w:rsid w:val="0083616B"/>
    <w:rsid w:val="008372F4"/>
    <w:rsid w:val="00844A63"/>
    <w:rsid w:val="00850CDD"/>
    <w:rsid w:val="0085530C"/>
    <w:rsid w:val="008618AC"/>
    <w:rsid w:val="008628C5"/>
    <w:rsid w:val="00863FF1"/>
    <w:rsid w:val="00883CD9"/>
    <w:rsid w:val="00893741"/>
    <w:rsid w:val="0089622D"/>
    <w:rsid w:val="00896A42"/>
    <w:rsid w:val="00896CF5"/>
    <w:rsid w:val="008B2849"/>
    <w:rsid w:val="008B74DD"/>
    <w:rsid w:val="008C6CF6"/>
    <w:rsid w:val="008D4D0D"/>
    <w:rsid w:val="008D5129"/>
    <w:rsid w:val="008D67E3"/>
    <w:rsid w:val="008E2F4D"/>
    <w:rsid w:val="008E37F3"/>
    <w:rsid w:val="008E49D2"/>
    <w:rsid w:val="008E641F"/>
    <w:rsid w:val="008E77DF"/>
    <w:rsid w:val="008F0985"/>
    <w:rsid w:val="0091332C"/>
    <w:rsid w:val="00914723"/>
    <w:rsid w:val="00922B87"/>
    <w:rsid w:val="009230B1"/>
    <w:rsid w:val="009373F2"/>
    <w:rsid w:val="00945AD2"/>
    <w:rsid w:val="00951E85"/>
    <w:rsid w:val="009553B4"/>
    <w:rsid w:val="009573C7"/>
    <w:rsid w:val="00957871"/>
    <w:rsid w:val="00957A95"/>
    <w:rsid w:val="00957BF0"/>
    <w:rsid w:val="009635B5"/>
    <w:rsid w:val="00964DCE"/>
    <w:rsid w:val="00966763"/>
    <w:rsid w:val="00973802"/>
    <w:rsid w:val="00974859"/>
    <w:rsid w:val="00976B09"/>
    <w:rsid w:val="009803C7"/>
    <w:rsid w:val="0098527D"/>
    <w:rsid w:val="00992CB3"/>
    <w:rsid w:val="009B0ADF"/>
    <w:rsid w:val="009B112E"/>
    <w:rsid w:val="009B5DBD"/>
    <w:rsid w:val="009C1453"/>
    <w:rsid w:val="009C3F59"/>
    <w:rsid w:val="009C6DB9"/>
    <w:rsid w:val="009D562A"/>
    <w:rsid w:val="009D7209"/>
    <w:rsid w:val="009D7843"/>
    <w:rsid w:val="009E072A"/>
    <w:rsid w:val="009E248E"/>
    <w:rsid w:val="009E4A50"/>
    <w:rsid w:val="009E5720"/>
    <w:rsid w:val="009F041F"/>
    <w:rsid w:val="009F0EC0"/>
    <w:rsid w:val="009F3EF6"/>
    <w:rsid w:val="00A0194D"/>
    <w:rsid w:val="00A027D7"/>
    <w:rsid w:val="00A030A7"/>
    <w:rsid w:val="00A1069A"/>
    <w:rsid w:val="00A10990"/>
    <w:rsid w:val="00A15D7D"/>
    <w:rsid w:val="00A2063D"/>
    <w:rsid w:val="00A25CE4"/>
    <w:rsid w:val="00A30FBF"/>
    <w:rsid w:val="00A30FE3"/>
    <w:rsid w:val="00A33AE6"/>
    <w:rsid w:val="00A36C57"/>
    <w:rsid w:val="00A4164F"/>
    <w:rsid w:val="00A4477B"/>
    <w:rsid w:val="00A5152A"/>
    <w:rsid w:val="00A51D9F"/>
    <w:rsid w:val="00A54855"/>
    <w:rsid w:val="00A60CFE"/>
    <w:rsid w:val="00A62D73"/>
    <w:rsid w:val="00A633DB"/>
    <w:rsid w:val="00A72260"/>
    <w:rsid w:val="00A81810"/>
    <w:rsid w:val="00A83032"/>
    <w:rsid w:val="00A932CE"/>
    <w:rsid w:val="00A9529A"/>
    <w:rsid w:val="00A96EA3"/>
    <w:rsid w:val="00AA157E"/>
    <w:rsid w:val="00AB08EA"/>
    <w:rsid w:val="00AB3AFD"/>
    <w:rsid w:val="00AB6C13"/>
    <w:rsid w:val="00AC0844"/>
    <w:rsid w:val="00AC0E5B"/>
    <w:rsid w:val="00AC4A01"/>
    <w:rsid w:val="00AC674F"/>
    <w:rsid w:val="00AD0BA1"/>
    <w:rsid w:val="00AD676F"/>
    <w:rsid w:val="00AD6876"/>
    <w:rsid w:val="00AE3749"/>
    <w:rsid w:val="00AF0FF8"/>
    <w:rsid w:val="00B00E5E"/>
    <w:rsid w:val="00B03F6D"/>
    <w:rsid w:val="00B07E6B"/>
    <w:rsid w:val="00B1237A"/>
    <w:rsid w:val="00B13861"/>
    <w:rsid w:val="00B177B6"/>
    <w:rsid w:val="00B3235C"/>
    <w:rsid w:val="00B37F16"/>
    <w:rsid w:val="00B52827"/>
    <w:rsid w:val="00B555B2"/>
    <w:rsid w:val="00B63A0E"/>
    <w:rsid w:val="00B67A2B"/>
    <w:rsid w:val="00B67CE3"/>
    <w:rsid w:val="00B67E88"/>
    <w:rsid w:val="00B76A50"/>
    <w:rsid w:val="00B82C1D"/>
    <w:rsid w:val="00B87480"/>
    <w:rsid w:val="00B87968"/>
    <w:rsid w:val="00B905B8"/>
    <w:rsid w:val="00B92B45"/>
    <w:rsid w:val="00B96B13"/>
    <w:rsid w:val="00BA13F6"/>
    <w:rsid w:val="00BA24EF"/>
    <w:rsid w:val="00BA36E1"/>
    <w:rsid w:val="00BA45DE"/>
    <w:rsid w:val="00BA5888"/>
    <w:rsid w:val="00BA5A3C"/>
    <w:rsid w:val="00BA6AC6"/>
    <w:rsid w:val="00BB0DF8"/>
    <w:rsid w:val="00BB7726"/>
    <w:rsid w:val="00BC11DA"/>
    <w:rsid w:val="00BC319E"/>
    <w:rsid w:val="00BC4CA8"/>
    <w:rsid w:val="00BC63EE"/>
    <w:rsid w:val="00BC6AD0"/>
    <w:rsid w:val="00BD2BA7"/>
    <w:rsid w:val="00BD5240"/>
    <w:rsid w:val="00BD579E"/>
    <w:rsid w:val="00BD7AF7"/>
    <w:rsid w:val="00BE00F4"/>
    <w:rsid w:val="00BE6A02"/>
    <w:rsid w:val="00BF19FE"/>
    <w:rsid w:val="00BF1E3E"/>
    <w:rsid w:val="00BF6A0E"/>
    <w:rsid w:val="00BF770C"/>
    <w:rsid w:val="00C04141"/>
    <w:rsid w:val="00C07DC0"/>
    <w:rsid w:val="00C1162D"/>
    <w:rsid w:val="00C16D83"/>
    <w:rsid w:val="00C26EAB"/>
    <w:rsid w:val="00C32403"/>
    <w:rsid w:val="00C425F3"/>
    <w:rsid w:val="00C43DD0"/>
    <w:rsid w:val="00C44D6A"/>
    <w:rsid w:val="00C4587B"/>
    <w:rsid w:val="00C558C4"/>
    <w:rsid w:val="00C741E0"/>
    <w:rsid w:val="00C80D50"/>
    <w:rsid w:val="00C83F5D"/>
    <w:rsid w:val="00C877A1"/>
    <w:rsid w:val="00CB15FE"/>
    <w:rsid w:val="00CC38DF"/>
    <w:rsid w:val="00CD02ED"/>
    <w:rsid w:val="00CD627F"/>
    <w:rsid w:val="00CE3A55"/>
    <w:rsid w:val="00CE3B12"/>
    <w:rsid w:val="00CE4D8B"/>
    <w:rsid w:val="00CE6FE0"/>
    <w:rsid w:val="00CE705B"/>
    <w:rsid w:val="00D013D3"/>
    <w:rsid w:val="00D1077E"/>
    <w:rsid w:val="00D263BA"/>
    <w:rsid w:val="00D3068E"/>
    <w:rsid w:val="00D356EE"/>
    <w:rsid w:val="00D35A65"/>
    <w:rsid w:val="00D43980"/>
    <w:rsid w:val="00D5050A"/>
    <w:rsid w:val="00D51C61"/>
    <w:rsid w:val="00D52649"/>
    <w:rsid w:val="00D54832"/>
    <w:rsid w:val="00D55985"/>
    <w:rsid w:val="00D60CB8"/>
    <w:rsid w:val="00D63C8E"/>
    <w:rsid w:val="00D754DB"/>
    <w:rsid w:val="00D8257B"/>
    <w:rsid w:val="00D86686"/>
    <w:rsid w:val="00D86FA4"/>
    <w:rsid w:val="00D95345"/>
    <w:rsid w:val="00DC3AC1"/>
    <w:rsid w:val="00DC54A3"/>
    <w:rsid w:val="00DC54D6"/>
    <w:rsid w:val="00DD30E9"/>
    <w:rsid w:val="00DD4A0A"/>
    <w:rsid w:val="00DF05FD"/>
    <w:rsid w:val="00DF3B17"/>
    <w:rsid w:val="00DF3C2B"/>
    <w:rsid w:val="00DF7B7D"/>
    <w:rsid w:val="00E002AD"/>
    <w:rsid w:val="00E03A48"/>
    <w:rsid w:val="00E061E0"/>
    <w:rsid w:val="00E11C71"/>
    <w:rsid w:val="00E13ACB"/>
    <w:rsid w:val="00E319B8"/>
    <w:rsid w:val="00E341BA"/>
    <w:rsid w:val="00E3498D"/>
    <w:rsid w:val="00E51088"/>
    <w:rsid w:val="00E52B93"/>
    <w:rsid w:val="00E54C7F"/>
    <w:rsid w:val="00E66636"/>
    <w:rsid w:val="00E71EE3"/>
    <w:rsid w:val="00E72D68"/>
    <w:rsid w:val="00E7600A"/>
    <w:rsid w:val="00E770D7"/>
    <w:rsid w:val="00E84638"/>
    <w:rsid w:val="00E851ED"/>
    <w:rsid w:val="00E85DDD"/>
    <w:rsid w:val="00E875C2"/>
    <w:rsid w:val="00E924D1"/>
    <w:rsid w:val="00E9447E"/>
    <w:rsid w:val="00E97D87"/>
    <w:rsid w:val="00EA30C3"/>
    <w:rsid w:val="00EA567B"/>
    <w:rsid w:val="00EA6D5C"/>
    <w:rsid w:val="00EB2B8B"/>
    <w:rsid w:val="00EB3783"/>
    <w:rsid w:val="00EB3E82"/>
    <w:rsid w:val="00EB6704"/>
    <w:rsid w:val="00EC522D"/>
    <w:rsid w:val="00EC66C2"/>
    <w:rsid w:val="00ED60A8"/>
    <w:rsid w:val="00EF13C9"/>
    <w:rsid w:val="00EF3A32"/>
    <w:rsid w:val="00F0614E"/>
    <w:rsid w:val="00F1354A"/>
    <w:rsid w:val="00F26723"/>
    <w:rsid w:val="00F30F7B"/>
    <w:rsid w:val="00F33050"/>
    <w:rsid w:val="00F3625F"/>
    <w:rsid w:val="00F44108"/>
    <w:rsid w:val="00F573A4"/>
    <w:rsid w:val="00F57D05"/>
    <w:rsid w:val="00F62B92"/>
    <w:rsid w:val="00F67E67"/>
    <w:rsid w:val="00F769BF"/>
    <w:rsid w:val="00F8184E"/>
    <w:rsid w:val="00F9070B"/>
    <w:rsid w:val="00F9369C"/>
    <w:rsid w:val="00F94680"/>
    <w:rsid w:val="00F95F0F"/>
    <w:rsid w:val="00FA1B96"/>
    <w:rsid w:val="00FA47FD"/>
    <w:rsid w:val="00FD3890"/>
    <w:rsid w:val="00FE3A6A"/>
    <w:rsid w:val="00FE430A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5F48"/>
  <w15:docId w15:val="{508F5ECC-2CFE-436C-92EA-E64E007C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Paragraphedeliste1">
    <w:name w:val="Paragraphe de liste1"/>
    <w:basedOn w:val="Normal"/>
    <w:pPr>
      <w:ind w:left="720"/>
    </w:pPr>
  </w:style>
  <w:style w:type="character" w:customStyle="1" w:styleId="Lienhypertexte1">
    <w:name w:val="Lien hypertexte1"/>
    <w:basedOn w:val="Policepardfaut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8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C70"/>
  </w:style>
  <w:style w:type="paragraph" w:styleId="Footer">
    <w:name w:val="footer"/>
    <w:basedOn w:val="Normal"/>
    <w:link w:val="FooterChar"/>
    <w:uiPriority w:val="99"/>
    <w:unhideWhenUsed/>
    <w:rsid w:val="0016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C70"/>
  </w:style>
  <w:style w:type="table" w:styleId="TableGrid">
    <w:name w:val="Table Grid"/>
    <w:basedOn w:val="TableNormal"/>
    <w:uiPriority w:val="39"/>
    <w:rsid w:val="007F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5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enat.fr/rap/r19-646/r19-6462.png" TargetMode="External"/><Relationship Id="rId17" Type="http://schemas.openxmlformats.org/officeDocument/2006/relationships/hyperlink" Target="https://solagro.org/images/imagesCK/files/publications/f98_2021_plaquetteafterres-4-pag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ddri.org/fr/publications-et-evenements/etude/une-europe-agroecologique-en-2050-une-agricultu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www.senat.fr/rap/r19-646/r19-6461.p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senat.fr/rap/r19-646/r19-6463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4</Pages>
  <Words>1454</Words>
  <Characters>7998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 de Largentaye</dc:creator>
  <dc:description/>
  <cp:lastModifiedBy>Armand de Largentaye</cp:lastModifiedBy>
  <cp:revision>20</cp:revision>
  <cp:lastPrinted>2023-01-11T15:34:00Z</cp:lastPrinted>
  <dcterms:created xsi:type="dcterms:W3CDTF">2023-01-08T10:41:00Z</dcterms:created>
  <dcterms:modified xsi:type="dcterms:W3CDTF">2023-01-11T16:22:00Z</dcterms:modified>
</cp:coreProperties>
</file>